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BAGH_SIR — Validation Record (Revised, Honest Version)</w:t>
      </w:r>
    </w:p>
    <w:p>
      <w:pPr>
        <w:spacing w:after="160" w:line="276"/>
      </w:pPr>
      <w:r>
        <w:rPr>
          <w:rFonts w:ascii="Calibri" w:cs="Calibri" w:eastAsia="Calibri" w:hAnsi="Calibri"/>
          <w:i/>
          <w:iCs/>
          <w:color w:val="555555"/>
          <w:sz w:val="22"/>
          <w:szCs w:val="22"/>
        </w:rPr>
        <w:t xml:space="preserve">Bagh's Shape-Integrated Reckoner — volume, density and porosity from 3D shape models</w:t>
      </w:r>
    </w:p>
    <w:p>
      <w:pPr>
        <w:spacing w:after="160" w:line="276"/>
      </w:pPr>
      <w:r>
        <w:rPr>
          <w:rFonts w:ascii="Calibri" w:cs="Calibri" w:eastAsia="Calibri" w:hAnsi="Calibri"/>
          <w:color w:val="555555"/>
          <w:sz w:val="22"/>
          <w:szCs w:val="22"/>
        </w:rPr>
        <w:t xml:space="preserve">Promod Bagh  ·  Independent researcher  ·  Raghunathpur, India</w:t>
      </w:r>
    </w:p>
    <w:p>
      <w:pPr>
        <w:pStyle w:val="Heading1"/>
        <w:spacing w:after="160" w:before="320"/>
      </w:pPr>
      <w:r>
        <w:rPr>
          <w:rFonts w:ascii="Calibri" w:cs="Calibri" w:eastAsia="Calibri" w:hAnsi="Calibri"/>
        </w:rPr>
        <w:t xml:space="preserve">Summary</w:t>
      </w:r>
    </w:p>
    <w:p>
      <w:pPr>
        <w:spacing w:after="160" w:line="276"/>
      </w:pPr>
      <w:r>
        <w:rPr>
          <w:rFonts w:ascii="Calibri" w:cs="Calibri" w:eastAsia="Calibri" w:hAnsi="Calibri"/>
          <w:sz w:val="22"/>
          <w:szCs w:val="22"/>
        </w:rPr>
        <w:t xml:space="preserve">BAGH_SIR computes an object's volume from its 3D shape model by the standard signed-tetrahedron sum, cross-checked by an independent algebraic form (projection sum); the two agree to machine precision on every body tested. Where the shape model carries true physical scale — the four spacecraft-visited bodies — the tool reproduces the published bulk density with no size fitting. This validates the volume computation. For catalogue asteroids, whose models are scale-free, the tool recovers the catalogue density exactly; this is reported below as a consistency check, not a validation, because the calculation is constrained to agree with the catalogue by construction.</w:t>
      </w:r>
    </w:p>
    <w:p>
      <w:pPr>
        <w:pStyle w:val="Heading1"/>
        <w:spacing w:after="160" w:before="320"/>
      </w:pPr>
      <w:r>
        <w:rPr>
          <w:rFonts w:ascii="Calibri" w:cs="Calibri" w:eastAsia="Calibri" w:hAnsi="Calibri"/>
        </w:rPr>
        <w:t xml:space="preserve">1. Validation — spacecraft missions and comet (absolutely scaled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gridCol w:w="1600"/>
        <w:gridCol w:w="1260"/>
      </w:tblGrid>
      <w:tr>
        <w:tc>
          <w:tcPr>
            <w:tcW w:type="dxa" w:w="19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Body</w:t>
            </w:r>
          </w:p>
        </w:tc>
        <w:tc>
          <w:tcPr>
            <w:tcW w:type="dxa" w:w="24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Mission / agency</w:t>
            </w:r>
          </w:p>
        </w:tc>
        <w:tc>
          <w:tcPr>
            <w:tcW w:type="dxa" w:w="22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BAGH_SIR ρ (g/cm³)</w:t>
            </w:r>
          </w:p>
        </w:tc>
        <w:tc>
          <w:tcPr>
            <w:tcW w:type="dxa" w:w="16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Published ρ</w:t>
            </w:r>
          </w:p>
        </w:tc>
        <w:tc>
          <w:tcPr>
            <w:tcW w:type="dxa" w:w="126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Scale factor</w:t>
            </w:r>
          </w:p>
        </w:tc>
      </w:tr>
      <w:tr>
        <w:tc>
          <w:tcPr>
            <w:tcW w:type="dxa" w:w="1900"/>
            <w:tcMar>
              <w:top w:type="dxa" w:w="80"/>
              <w:left w:type="dxa" w:w="120"/>
              <w:bottom w:type="dxa" w:w="80"/>
              <w:right w:type="dxa" w:w="120"/>
            </w:tcMar>
          </w:tcPr>
          <w:p>
            <w:r>
              <w:rPr>
                <w:rFonts w:ascii="Calibri" w:cs="Calibri" w:eastAsia="Calibri" w:hAnsi="Calibri"/>
                <w:sz w:val="20"/>
                <w:szCs w:val="20"/>
              </w:rPr>
              <w:t xml:space="preserve">67P (comet)</w:t>
            </w:r>
          </w:p>
        </w:tc>
        <w:tc>
          <w:tcPr>
            <w:tcW w:type="dxa" w:w="2400"/>
            <w:tcMar>
              <w:top w:type="dxa" w:w="80"/>
              <w:left w:type="dxa" w:w="120"/>
              <w:bottom w:type="dxa" w:w="80"/>
              <w:right w:type="dxa" w:w="120"/>
            </w:tcMar>
          </w:tcPr>
          <w:p>
            <w:r>
              <w:rPr>
                <w:rFonts w:ascii="Calibri" w:cs="Calibri" w:eastAsia="Calibri" w:hAnsi="Calibri"/>
                <w:sz w:val="20"/>
                <w:szCs w:val="20"/>
              </w:rPr>
              <w:t xml:space="preserve">Rosetta · ESA</w:t>
            </w:r>
          </w:p>
        </w:tc>
        <w:tc>
          <w:tcPr>
            <w:tcW w:type="dxa" w:w="2200"/>
            <w:tcMar>
              <w:top w:type="dxa" w:w="80"/>
              <w:left w:type="dxa" w:w="120"/>
              <w:bottom w:type="dxa" w:w="80"/>
              <w:right w:type="dxa" w:w="120"/>
            </w:tcMar>
          </w:tcPr>
          <w:p>
            <w:r>
              <w:rPr>
                <w:rFonts w:ascii="Calibri" w:cs="Calibri" w:eastAsia="Calibri" w:hAnsi="Calibri"/>
                <w:sz w:val="20"/>
                <w:szCs w:val="20"/>
              </w:rPr>
              <w:t xml:space="preserve">0.535</w:t>
            </w:r>
          </w:p>
        </w:tc>
        <w:tc>
          <w:tcPr>
            <w:tcW w:type="dxa" w:w="1600"/>
            <w:tcMar>
              <w:top w:type="dxa" w:w="80"/>
              <w:left w:type="dxa" w:w="120"/>
              <w:bottom w:type="dxa" w:w="80"/>
              <w:right w:type="dxa" w:w="120"/>
            </w:tcMar>
          </w:tcPr>
          <w:p>
            <w:r>
              <w:rPr>
                <w:rFonts w:ascii="Calibri" w:cs="Calibri" w:eastAsia="Calibri" w:hAnsi="Calibri"/>
                <w:sz w:val="20"/>
                <w:szCs w:val="20"/>
              </w:rPr>
              <w:t xml:space="preserve">0.536</w:t>
            </w:r>
          </w:p>
        </w:tc>
        <w:tc>
          <w:tcPr>
            <w:tcW w:type="dxa" w:w="1260"/>
            <w:tcMar>
              <w:top w:type="dxa" w:w="80"/>
              <w:left w:type="dxa" w:w="120"/>
              <w:bottom w:type="dxa" w:w="80"/>
              <w:right w:type="dxa" w:w="120"/>
            </w:tcMar>
          </w:tcPr>
          <w:p>
            <w:r>
              <w:rPr>
                <w:rFonts w:ascii="Calibri" w:cs="Calibri" w:eastAsia="Calibri" w:hAnsi="Calibri"/>
                <w:sz w:val="20"/>
                <w:szCs w:val="20"/>
              </w:rPr>
              <w:t xml:space="preserve">≈ 1.0</w:t>
            </w:r>
          </w:p>
        </w:tc>
      </w:tr>
      <w:tr>
        <w:tc>
          <w:tcPr>
            <w:tcW w:type="dxa" w:w="1900"/>
            <w:tcMar>
              <w:top w:type="dxa" w:w="80"/>
              <w:left w:type="dxa" w:w="120"/>
              <w:bottom w:type="dxa" w:w="80"/>
              <w:right w:type="dxa" w:w="120"/>
            </w:tcMar>
          </w:tcPr>
          <w:p>
            <w:r>
              <w:rPr>
                <w:rFonts w:ascii="Calibri" w:cs="Calibri" w:eastAsia="Calibri" w:hAnsi="Calibri"/>
                <w:sz w:val="20"/>
                <w:szCs w:val="20"/>
              </w:rPr>
              <w:t xml:space="preserve">Bennu</w:t>
            </w:r>
          </w:p>
        </w:tc>
        <w:tc>
          <w:tcPr>
            <w:tcW w:type="dxa" w:w="2400"/>
            <w:tcMar>
              <w:top w:type="dxa" w:w="80"/>
              <w:left w:type="dxa" w:w="120"/>
              <w:bottom w:type="dxa" w:w="80"/>
              <w:right w:type="dxa" w:w="120"/>
            </w:tcMar>
          </w:tcPr>
          <w:p>
            <w:r>
              <w:rPr>
                <w:rFonts w:ascii="Calibri" w:cs="Calibri" w:eastAsia="Calibri" w:hAnsi="Calibri"/>
                <w:sz w:val="20"/>
                <w:szCs w:val="20"/>
              </w:rPr>
              <w:t xml:space="preserve">OSIRIS-REx · NASA</w:t>
            </w:r>
          </w:p>
        </w:tc>
        <w:tc>
          <w:tcPr>
            <w:tcW w:type="dxa" w:w="2200"/>
            <w:tcMar>
              <w:top w:type="dxa" w:w="80"/>
              <w:left w:type="dxa" w:w="120"/>
              <w:bottom w:type="dxa" w:w="80"/>
              <w:right w:type="dxa" w:w="120"/>
            </w:tcMar>
          </w:tcPr>
          <w:p>
            <w:r>
              <w:rPr>
                <w:rFonts w:ascii="Calibri" w:cs="Calibri" w:eastAsia="Calibri" w:hAnsi="Calibri"/>
                <w:sz w:val="20"/>
                <w:szCs w:val="20"/>
              </w:rPr>
              <w:t xml:space="preserve">1.190</w:t>
            </w:r>
          </w:p>
        </w:tc>
        <w:tc>
          <w:tcPr>
            <w:tcW w:type="dxa" w:w="1600"/>
            <w:tcMar>
              <w:top w:type="dxa" w:w="80"/>
              <w:left w:type="dxa" w:w="120"/>
              <w:bottom w:type="dxa" w:w="80"/>
              <w:right w:type="dxa" w:w="120"/>
            </w:tcMar>
          </w:tcPr>
          <w:p>
            <w:r>
              <w:rPr>
                <w:rFonts w:ascii="Calibri" w:cs="Calibri" w:eastAsia="Calibri" w:hAnsi="Calibri"/>
                <w:sz w:val="20"/>
                <w:szCs w:val="20"/>
              </w:rPr>
              <w:t xml:space="preserve">1.190</w:t>
            </w:r>
          </w:p>
        </w:tc>
        <w:tc>
          <w:tcPr>
            <w:tcW w:type="dxa" w:w="1260"/>
            <w:tcMar>
              <w:top w:type="dxa" w:w="80"/>
              <w:left w:type="dxa" w:w="120"/>
              <w:bottom w:type="dxa" w:w="80"/>
              <w:right w:type="dxa" w:w="120"/>
            </w:tcMar>
          </w:tcPr>
          <w:p>
            <w:r>
              <w:rPr>
                <w:rFonts w:ascii="Calibri" w:cs="Calibri" w:eastAsia="Calibri" w:hAnsi="Calibri"/>
                <w:sz w:val="20"/>
                <w:szCs w:val="20"/>
              </w:rPr>
              <w:t xml:space="preserve">≈ 1.0</w:t>
            </w:r>
          </w:p>
        </w:tc>
      </w:tr>
      <w:tr>
        <w:tc>
          <w:tcPr>
            <w:tcW w:type="dxa" w:w="1900"/>
            <w:tcMar>
              <w:top w:type="dxa" w:w="80"/>
              <w:left w:type="dxa" w:w="120"/>
              <w:bottom w:type="dxa" w:w="80"/>
              <w:right w:type="dxa" w:w="120"/>
            </w:tcMar>
          </w:tcPr>
          <w:p>
            <w:r>
              <w:rPr>
                <w:rFonts w:ascii="Calibri" w:cs="Calibri" w:eastAsia="Calibri" w:hAnsi="Calibri"/>
                <w:sz w:val="20"/>
                <w:szCs w:val="20"/>
              </w:rPr>
              <w:t xml:space="preserve">Ryugu</w:t>
            </w:r>
          </w:p>
        </w:tc>
        <w:tc>
          <w:tcPr>
            <w:tcW w:type="dxa" w:w="2400"/>
            <w:tcMar>
              <w:top w:type="dxa" w:w="80"/>
              <w:left w:type="dxa" w:w="120"/>
              <w:bottom w:type="dxa" w:w="80"/>
              <w:right w:type="dxa" w:w="120"/>
            </w:tcMar>
          </w:tcPr>
          <w:p>
            <w:r>
              <w:rPr>
                <w:rFonts w:ascii="Calibri" w:cs="Calibri" w:eastAsia="Calibri" w:hAnsi="Calibri"/>
                <w:sz w:val="20"/>
                <w:szCs w:val="20"/>
              </w:rPr>
              <w:t xml:space="preserve">Hayabusa2 · JAXA</w:t>
            </w:r>
          </w:p>
        </w:tc>
        <w:tc>
          <w:tcPr>
            <w:tcW w:type="dxa" w:w="2200"/>
            <w:tcMar>
              <w:top w:type="dxa" w:w="80"/>
              <w:left w:type="dxa" w:w="120"/>
              <w:bottom w:type="dxa" w:w="80"/>
              <w:right w:type="dxa" w:w="120"/>
            </w:tcMar>
          </w:tcPr>
          <w:p>
            <w:r>
              <w:rPr>
                <w:rFonts w:ascii="Calibri" w:cs="Calibri" w:eastAsia="Calibri" w:hAnsi="Calibri"/>
                <w:sz w:val="20"/>
                <w:szCs w:val="20"/>
              </w:rPr>
              <w:t xml:space="preserve">1.195</w:t>
            </w:r>
          </w:p>
        </w:tc>
        <w:tc>
          <w:tcPr>
            <w:tcW w:type="dxa" w:w="1600"/>
            <w:tcMar>
              <w:top w:type="dxa" w:w="80"/>
              <w:left w:type="dxa" w:w="120"/>
              <w:bottom w:type="dxa" w:w="80"/>
              <w:right w:type="dxa" w:w="120"/>
            </w:tcMar>
          </w:tcPr>
          <w:p>
            <w:r>
              <w:rPr>
                <w:rFonts w:ascii="Calibri" w:cs="Calibri" w:eastAsia="Calibri" w:hAnsi="Calibri"/>
                <w:sz w:val="20"/>
                <w:szCs w:val="20"/>
              </w:rPr>
              <w:t xml:space="preserve">1.19</w:t>
            </w:r>
          </w:p>
        </w:tc>
        <w:tc>
          <w:tcPr>
            <w:tcW w:type="dxa" w:w="1260"/>
            <w:tcMar>
              <w:top w:type="dxa" w:w="80"/>
              <w:left w:type="dxa" w:w="120"/>
              <w:bottom w:type="dxa" w:w="80"/>
              <w:right w:type="dxa" w:w="120"/>
            </w:tcMar>
          </w:tcPr>
          <w:p>
            <w:r>
              <w:rPr>
                <w:rFonts w:ascii="Calibri" w:cs="Calibri" w:eastAsia="Calibri" w:hAnsi="Calibri"/>
                <w:sz w:val="20"/>
                <w:szCs w:val="20"/>
              </w:rPr>
              <w:t xml:space="preserve">≈ 1.0</w:t>
            </w:r>
          </w:p>
        </w:tc>
      </w:tr>
      <w:tr>
        <w:tc>
          <w:tcPr>
            <w:tcW w:type="dxa" w:w="1900"/>
            <w:tcMar>
              <w:top w:type="dxa" w:w="80"/>
              <w:left w:type="dxa" w:w="120"/>
              <w:bottom w:type="dxa" w:w="80"/>
              <w:right w:type="dxa" w:w="120"/>
            </w:tcMar>
          </w:tcPr>
          <w:p>
            <w:r>
              <w:rPr>
                <w:rFonts w:ascii="Calibri" w:cs="Calibri" w:eastAsia="Calibri" w:hAnsi="Calibri"/>
                <w:sz w:val="20"/>
                <w:szCs w:val="20"/>
              </w:rPr>
              <w:t xml:space="preserve">Itokawa</w:t>
            </w:r>
          </w:p>
        </w:tc>
        <w:tc>
          <w:tcPr>
            <w:tcW w:type="dxa" w:w="2400"/>
            <w:tcMar>
              <w:top w:type="dxa" w:w="80"/>
              <w:left w:type="dxa" w:w="120"/>
              <w:bottom w:type="dxa" w:w="80"/>
              <w:right w:type="dxa" w:w="120"/>
            </w:tcMar>
          </w:tcPr>
          <w:p>
            <w:r>
              <w:rPr>
                <w:rFonts w:ascii="Calibri" w:cs="Calibri" w:eastAsia="Calibri" w:hAnsi="Calibri"/>
                <w:sz w:val="20"/>
                <w:szCs w:val="20"/>
              </w:rPr>
              <w:t xml:space="preserve">Hayabusa · JAXA</w:t>
            </w:r>
          </w:p>
        </w:tc>
        <w:tc>
          <w:tcPr>
            <w:tcW w:type="dxa" w:w="2200"/>
            <w:tcMar>
              <w:top w:type="dxa" w:w="80"/>
              <w:left w:type="dxa" w:w="120"/>
              <w:bottom w:type="dxa" w:w="80"/>
              <w:right w:type="dxa" w:w="120"/>
            </w:tcMar>
          </w:tcPr>
          <w:p>
            <w:r>
              <w:rPr>
                <w:rFonts w:ascii="Calibri" w:cs="Calibri" w:eastAsia="Calibri" w:hAnsi="Calibri"/>
                <w:sz w:val="20"/>
                <w:szCs w:val="20"/>
              </w:rPr>
              <w:t xml:space="preserve">1.865</w:t>
            </w:r>
          </w:p>
        </w:tc>
        <w:tc>
          <w:tcPr>
            <w:tcW w:type="dxa" w:w="1600"/>
            <w:tcMar>
              <w:top w:type="dxa" w:w="80"/>
              <w:left w:type="dxa" w:w="120"/>
              <w:bottom w:type="dxa" w:w="80"/>
              <w:right w:type="dxa" w:w="120"/>
            </w:tcMar>
          </w:tcPr>
          <w:p>
            <w:r>
              <w:rPr>
                <w:rFonts w:ascii="Calibri" w:cs="Calibri" w:eastAsia="Calibri" w:hAnsi="Calibri"/>
                <w:sz w:val="20"/>
                <w:szCs w:val="20"/>
              </w:rPr>
              <w:t xml:space="preserve">1.9</w:t>
            </w:r>
          </w:p>
        </w:tc>
        <w:tc>
          <w:tcPr>
            <w:tcW w:type="dxa" w:w="1260"/>
            <w:tcMar>
              <w:top w:type="dxa" w:w="80"/>
              <w:left w:type="dxa" w:w="120"/>
              <w:bottom w:type="dxa" w:w="80"/>
              <w:right w:type="dxa" w:w="120"/>
            </w:tcMar>
          </w:tcPr>
          <w:p>
            <w:r>
              <w:rPr>
                <w:rFonts w:ascii="Calibri" w:cs="Calibri" w:eastAsia="Calibri" w:hAnsi="Calibri"/>
                <w:sz w:val="20"/>
                <w:szCs w:val="20"/>
              </w:rPr>
              <w:t xml:space="preserve">≈ 1.0</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These models are in real kilometres, so the density emerges from the tool's own geometry plus the published mass. Reproducing all four published densities confirms the volume code is correct on real, irregular, mission-grade meshes.</w:t>
      </w:r>
    </w:p>
    <w:p>
      <w:pPr>
        <w:pStyle w:val="Heading1"/>
        <w:spacing w:after="160" w:before="320"/>
      </w:pPr>
      <w:r>
        <w:rPr>
          <w:rFonts w:ascii="Calibri" w:cs="Calibri" w:eastAsia="Calibri" w:hAnsi="Calibri"/>
        </w:rPr>
        <w:t xml:space="preserve">2. Consistency check — catalogue asteroids (scale-free models)</w:t>
      </w:r>
    </w:p>
    <w:p>
      <w:pPr>
        <w:spacing w:after="160" w:line="276"/>
      </w:pPr>
      <w:r>
        <w:rPr>
          <w:rFonts w:ascii="Calibri" w:cs="Calibri" w:eastAsia="Calibri" w:hAnsi="Calibri"/>
          <w:sz w:val="22"/>
          <w:szCs w:val="22"/>
        </w:rPr>
        <w:t xml:space="preserve">DAMIT shape models have correct form but arbitrary size. The pipeline scales each model to the SiMDA volume-equivalent diameter and divides the SiMDA mass by the resulting volume. Because SiMDA's own density is defined from the same mass and diameter, agreement here is guaranteed by construction. The value of this exercise is (a) verifying the pipeline end-to-end, and (b) producing the shape-uncertainty and plausibility diagnostics in Sections 3–4, which are not in the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60"/>
      </w:tblGrid>
      <w:tr>
        <w:tc>
          <w:tcPr>
            <w:tcW w:type="dxa" w:w="26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Asteroid</w:t>
            </w:r>
          </w:p>
        </w:tc>
        <w:tc>
          <w:tcPr>
            <w:tcW w:type="dxa" w:w="19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Recovered ρ</w:t>
            </w:r>
          </w:p>
        </w:tc>
        <w:tc>
          <w:tcPr>
            <w:tcW w:type="dxa" w:w="19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SiMDA ρ</w:t>
            </w:r>
          </w:p>
        </w:tc>
        <w:tc>
          <w:tcPr>
            <w:tcW w:type="dxa" w:w="296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2600"/>
            <w:tcMar>
              <w:top w:type="dxa" w:w="80"/>
              <w:left w:type="dxa" w:w="120"/>
              <w:bottom w:type="dxa" w:w="80"/>
              <w:right w:type="dxa" w:w="120"/>
            </w:tcMar>
          </w:tcPr>
          <w:p>
            <w:r>
              <w:rPr>
                <w:rFonts w:ascii="Calibri" w:cs="Calibri" w:eastAsia="Calibri" w:hAnsi="Calibri"/>
                <w:sz w:val="20"/>
                <w:szCs w:val="20"/>
              </w:rPr>
              <w:t xml:space="preserve">Pallas</w:t>
            </w:r>
          </w:p>
        </w:tc>
        <w:tc>
          <w:tcPr>
            <w:tcW w:type="dxa" w:w="1900"/>
            <w:tcMar>
              <w:top w:type="dxa" w:w="80"/>
              <w:left w:type="dxa" w:w="120"/>
              <w:bottom w:type="dxa" w:w="80"/>
              <w:right w:type="dxa" w:w="120"/>
            </w:tcMar>
          </w:tcPr>
          <w:p>
            <w:r>
              <w:rPr>
                <w:rFonts w:ascii="Calibri" w:cs="Calibri" w:eastAsia="Calibri" w:hAnsi="Calibri"/>
                <w:sz w:val="20"/>
                <w:szCs w:val="20"/>
              </w:rPr>
              <w:t xml:space="preserve">2.77</w:t>
            </w:r>
          </w:p>
        </w:tc>
        <w:tc>
          <w:tcPr>
            <w:tcW w:type="dxa" w:w="1900"/>
            <w:tcMar>
              <w:top w:type="dxa" w:w="80"/>
              <w:left w:type="dxa" w:w="120"/>
              <w:bottom w:type="dxa" w:w="80"/>
              <w:right w:type="dxa" w:w="120"/>
            </w:tcMar>
          </w:tcPr>
          <w:p>
            <w:r>
              <w:rPr>
                <w:rFonts w:ascii="Calibri" w:cs="Calibri" w:eastAsia="Calibri" w:hAnsi="Calibri"/>
                <w:sz w:val="20"/>
                <w:szCs w:val="20"/>
              </w:rPr>
              <w:t xml:space="preserve">2.77</w:t>
            </w:r>
          </w:p>
        </w:tc>
        <w:tc>
          <w:tcPr>
            <w:tcW w:type="dxa" w:w="2960"/>
            <w:tcMar>
              <w:top w:type="dxa" w:w="80"/>
              <w:left w:type="dxa" w:w="120"/>
              <w:bottom w:type="dxa" w:w="80"/>
              <w:right w:type="dxa" w:w="120"/>
            </w:tcMar>
          </w:tcPr>
          <w:p>
            <w:r>
              <w:rPr>
                <w:rFonts w:ascii="Calibri" w:cs="Calibri" w:eastAsia="Calibri" w:hAnsi="Calibri"/>
                <w:sz w:val="20"/>
                <w:szCs w:val="20"/>
              </w:rPr>
              <w:t xml:space="preserve"/>
            </w:r>
          </w:p>
        </w:tc>
      </w:tr>
      <w:tr>
        <w:tc>
          <w:tcPr>
            <w:tcW w:type="dxa" w:w="2600"/>
            <w:tcMar>
              <w:top w:type="dxa" w:w="80"/>
              <w:left w:type="dxa" w:w="120"/>
              <w:bottom w:type="dxa" w:w="80"/>
              <w:right w:type="dxa" w:w="120"/>
            </w:tcMar>
          </w:tcPr>
          <w:p>
            <w:r>
              <w:rPr>
                <w:rFonts w:ascii="Calibri" w:cs="Calibri" w:eastAsia="Calibri" w:hAnsi="Calibri"/>
                <w:sz w:val="20"/>
                <w:szCs w:val="20"/>
              </w:rPr>
              <w:t xml:space="preserve">Eros</w:t>
            </w:r>
          </w:p>
        </w:tc>
        <w:tc>
          <w:tcPr>
            <w:tcW w:type="dxa" w:w="1900"/>
            <w:tcMar>
              <w:top w:type="dxa" w:w="80"/>
              <w:left w:type="dxa" w:w="120"/>
              <w:bottom w:type="dxa" w:w="80"/>
              <w:right w:type="dxa" w:w="120"/>
            </w:tcMar>
          </w:tcPr>
          <w:p>
            <w:r>
              <w:rPr>
                <w:rFonts w:ascii="Calibri" w:cs="Calibri" w:eastAsia="Calibri" w:hAnsi="Calibri"/>
                <w:sz w:val="20"/>
                <w:szCs w:val="20"/>
              </w:rPr>
              <w:t xml:space="preserve">3.01</w:t>
            </w:r>
          </w:p>
        </w:tc>
        <w:tc>
          <w:tcPr>
            <w:tcW w:type="dxa" w:w="1900"/>
            <w:tcMar>
              <w:top w:type="dxa" w:w="80"/>
              <w:left w:type="dxa" w:w="120"/>
              <w:bottom w:type="dxa" w:w="80"/>
              <w:right w:type="dxa" w:w="120"/>
            </w:tcMar>
          </w:tcPr>
          <w:p>
            <w:r>
              <w:rPr>
                <w:rFonts w:ascii="Calibri" w:cs="Calibri" w:eastAsia="Calibri" w:hAnsi="Calibri"/>
                <w:sz w:val="20"/>
                <w:szCs w:val="20"/>
              </w:rPr>
              <w:t xml:space="preserve">3.01</w:t>
            </w:r>
          </w:p>
        </w:tc>
        <w:tc>
          <w:tcPr>
            <w:tcW w:type="dxa" w:w="2960"/>
            <w:tcMar>
              <w:top w:type="dxa" w:w="80"/>
              <w:left w:type="dxa" w:w="120"/>
              <w:bottom w:type="dxa" w:w="80"/>
              <w:right w:type="dxa" w:w="120"/>
            </w:tcMar>
          </w:tcPr>
          <w:p>
            <w:r>
              <w:rPr>
                <w:rFonts w:ascii="Calibri" w:cs="Calibri" w:eastAsia="Calibri" w:hAnsi="Calibri"/>
                <w:sz w:val="20"/>
                <w:szCs w:val="20"/>
              </w:rPr>
              <w:t xml:space="preserve"/>
            </w:r>
          </w:p>
        </w:tc>
      </w:tr>
      <w:tr>
        <w:tc>
          <w:tcPr>
            <w:tcW w:type="dxa" w:w="2600"/>
            <w:tcMar>
              <w:top w:type="dxa" w:w="80"/>
              <w:left w:type="dxa" w:w="120"/>
              <w:bottom w:type="dxa" w:w="80"/>
              <w:right w:type="dxa" w:w="120"/>
            </w:tcMar>
          </w:tcPr>
          <w:p>
            <w:r>
              <w:rPr>
                <w:rFonts w:ascii="Calibri" w:cs="Calibri" w:eastAsia="Calibri" w:hAnsi="Calibri"/>
                <w:sz w:val="20"/>
                <w:szCs w:val="20"/>
              </w:rPr>
              <w:t xml:space="preserve">Thetis</w:t>
            </w:r>
          </w:p>
        </w:tc>
        <w:tc>
          <w:tcPr>
            <w:tcW w:type="dxa" w:w="1900"/>
            <w:tcMar>
              <w:top w:type="dxa" w:w="80"/>
              <w:left w:type="dxa" w:w="120"/>
              <w:bottom w:type="dxa" w:w="80"/>
              <w:right w:type="dxa" w:w="120"/>
            </w:tcMar>
          </w:tcPr>
          <w:p>
            <w:r>
              <w:rPr>
                <w:rFonts w:ascii="Calibri" w:cs="Calibri" w:eastAsia="Calibri" w:hAnsi="Calibri"/>
                <w:sz w:val="20"/>
                <w:szCs w:val="20"/>
              </w:rPr>
              <w:t xml:space="preserve">2.88</w:t>
            </w:r>
          </w:p>
        </w:tc>
        <w:tc>
          <w:tcPr>
            <w:tcW w:type="dxa" w:w="1900"/>
            <w:tcMar>
              <w:top w:type="dxa" w:w="80"/>
              <w:left w:type="dxa" w:w="120"/>
              <w:bottom w:type="dxa" w:w="80"/>
              <w:right w:type="dxa" w:w="120"/>
            </w:tcMar>
          </w:tcPr>
          <w:p>
            <w:r>
              <w:rPr>
                <w:rFonts w:ascii="Calibri" w:cs="Calibri" w:eastAsia="Calibri" w:hAnsi="Calibri"/>
                <w:sz w:val="20"/>
                <w:szCs w:val="20"/>
              </w:rPr>
              <w:t xml:space="preserve">2.88</w:t>
            </w:r>
          </w:p>
        </w:tc>
        <w:tc>
          <w:tcPr>
            <w:tcW w:type="dxa" w:w="2960"/>
            <w:tcMar>
              <w:top w:type="dxa" w:w="80"/>
              <w:left w:type="dxa" w:w="120"/>
              <w:bottom w:type="dxa" w:w="80"/>
              <w:right w:type="dxa" w:w="120"/>
            </w:tcMar>
          </w:tcPr>
          <w:p>
            <w:r>
              <w:rPr>
                <w:rFonts w:ascii="Calibri" w:cs="Calibri" w:eastAsia="Calibri" w:hAnsi="Calibri"/>
                <w:sz w:val="20"/>
                <w:szCs w:val="20"/>
              </w:rPr>
              <w:t xml:space="preserve"/>
            </w:r>
          </w:p>
        </w:tc>
      </w:tr>
      <w:tr>
        <w:tc>
          <w:tcPr>
            <w:tcW w:type="dxa" w:w="2600"/>
            <w:tcMar>
              <w:top w:type="dxa" w:w="80"/>
              <w:left w:type="dxa" w:w="120"/>
              <w:bottom w:type="dxa" w:w="80"/>
              <w:right w:type="dxa" w:w="120"/>
            </w:tcMar>
          </w:tcPr>
          <w:p>
            <w:r>
              <w:rPr>
                <w:rFonts w:ascii="Calibri" w:cs="Calibri" w:eastAsia="Calibri" w:hAnsi="Calibri"/>
                <w:sz w:val="20"/>
                <w:szCs w:val="20"/>
              </w:rPr>
              <w:t xml:space="preserve">Bellona</w:t>
            </w:r>
          </w:p>
        </w:tc>
        <w:tc>
          <w:tcPr>
            <w:tcW w:type="dxa" w:w="1900"/>
            <w:tcMar>
              <w:top w:type="dxa" w:w="80"/>
              <w:left w:type="dxa" w:w="120"/>
              <w:bottom w:type="dxa" w:w="80"/>
              <w:right w:type="dxa" w:w="120"/>
            </w:tcMar>
          </w:tcPr>
          <w:p>
            <w:r>
              <w:rPr>
                <w:rFonts w:ascii="Calibri" w:cs="Calibri" w:eastAsia="Calibri" w:hAnsi="Calibri"/>
                <w:sz w:val="20"/>
                <w:szCs w:val="20"/>
              </w:rPr>
              <w:t xml:space="preserve">3.27</w:t>
            </w:r>
          </w:p>
        </w:tc>
        <w:tc>
          <w:tcPr>
            <w:tcW w:type="dxa" w:w="1900"/>
            <w:tcMar>
              <w:top w:type="dxa" w:w="80"/>
              <w:left w:type="dxa" w:w="120"/>
              <w:bottom w:type="dxa" w:w="80"/>
              <w:right w:type="dxa" w:w="120"/>
            </w:tcMar>
          </w:tcPr>
          <w:p>
            <w:r>
              <w:rPr>
                <w:rFonts w:ascii="Calibri" w:cs="Calibri" w:eastAsia="Calibri" w:hAnsi="Calibri"/>
                <w:sz w:val="20"/>
                <w:szCs w:val="20"/>
              </w:rPr>
              <w:t xml:space="preserve">3.27</w:t>
            </w:r>
          </w:p>
        </w:tc>
        <w:tc>
          <w:tcPr>
            <w:tcW w:type="dxa" w:w="2960"/>
            <w:tcMar>
              <w:top w:type="dxa" w:w="80"/>
              <w:left w:type="dxa" w:w="120"/>
              <w:bottom w:type="dxa" w:w="80"/>
              <w:right w:type="dxa" w:w="120"/>
            </w:tcMar>
          </w:tcPr>
          <w:p>
            <w:r>
              <w:rPr>
                <w:rFonts w:ascii="Calibri" w:cs="Calibri" w:eastAsia="Calibri" w:hAnsi="Calibri"/>
                <w:sz w:val="20"/>
                <w:szCs w:val="20"/>
              </w:rPr>
              <w:t xml:space="preserve"/>
            </w:r>
          </w:p>
        </w:tc>
      </w:tr>
      <w:tr>
        <w:tc>
          <w:tcPr>
            <w:tcW w:type="dxa" w:w="2600"/>
            <w:tcMar>
              <w:top w:type="dxa" w:w="80"/>
              <w:left w:type="dxa" w:w="120"/>
              <w:bottom w:type="dxa" w:w="80"/>
              <w:right w:type="dxa" w:w="120"/>
            </w:tcMar>
          </w:tcPr>
          <w:p>
            <w:r>
              <w:rPr>
                <w:rFonts w:ascii="Calibri" w:cs="Calibri" w:eastAsia="Calibri" w:hAnsi="Calibri"/>
                <w:sz w:val="20"/>
                <w:szCs w:val="20"/>
              </w:rPr>
              <w:t xml:space="preserve">Klymene</w:t>
            </w:r>
          </w:p>
        </w:tc>
        <w:tc>
          <w:tcPr>
            <w:tcW w:type="dxa" w:w="1900"/>
            <w:tcMar>
              <w:top w:type="dxa" w:w="80"/>
              <w:left w:type="dxa" w:w="120"/>
              <w:bottom w:type="dxa" w:w="80"/>
              <w:right w:type="dxa" w:w="120"/>
            </w:tcMar>
          </w:tcPr>
          <w:p>
            <w:r>
              <w:rPr>
                <w:rFonts w:ascii="Calibri" w:cs="Calibri" w:eastAsia="Calibri" w:hAnsi="Calibri"/>
                <w:sz w:val="20"/>
                <w:szCs w:val="20"/>
              </w:rPr>
              <w:t xml:space="preserve">1.76</w:t>
            </w:r>
          </w:p>
        </w:tc>
        <w:tc>
          <w:tcPr>
            <w:tcW w:type="dxa" w:w="1900"/>
            <w:tcMar>
              <w:top w:type="dxa" w:w="80"/>
              <w:left w:type="dxa" w:w="120"/>
              <w:bottom w:type="dxa" w:w="80"/>
              <w:right w:type="dxa" w:w="120"/>
            </w:tcMar>
          </w:tcPr>
          <w:p>
            <w:r>
              <w:rPr>
                <w:rFonts w:ascii="Calibri" w:cs="Calibri" w:eastAsia="Calibri" w:hAnsi="Calibri"/>
                <w:sz w:val="20"/>
                <w:szCs w:val="20"/>
              </w:rPr>
              <w:t xml:space="preserve">1.76</w:t>
            </w:r>
          </w:p>
        </w:tc>
        <w:tc>
          <w:tcPr>
            <w:tcW w:type="dxa" w:w="2960"/>
            <w:tcMar>
              <w:top w:type="dxa" w:w="80"/>
              <w:left w:type="dxa" w:w="120"/>
              <w:bottom w:type="dxa" w:w="80"/>
              <w:right w:type="dxa" w:w="120"/>
            </w:tcMar>
          </w:tcPr>
          <w:p>
            <w:r>
              <w:rPr>
                <w:rFonts w:ascii="Calibri" w:cs="Calibri" w:eastAsia="Calibri" w:hAnsi="Calibri"/>
                <w:sz w:val="20"/>
                <w:szCs w:val="20"/>
              </w:rPr>
              <w:t xml:space="preserve"/>
            </w:r>
          </w:p>
        </w:tc>
      </w:tr>
      <w:tr>
        <w:tc>
          <w:tcPr>
            <w:tcW w:type="dxa" w:w="2600"/>
            <w:tcMar>
              <w:top w:type="dxa" w:w="80"/>
              <w:left w:type="dxa" w:w="120"/>
              <w:bottom w:type="dxa" w:w="80"/>
              <w:right w:type="dxa" w:w="120"/>
            </w:tcMar>
          </w:tcPr>
          <w:p>
            <w:r>
              <w:rPr>
                <w:rFonts w:ascii="Calibri" w:cs="Calibri" w:eastAsia="Calibri" w:hAnsi="Calibri"/>
                <w:sz w:val="20"/>
                <w:szCs w:val="20"/>
              </w:rPr>
              <w:t xml:space="preserve">Artemis</w:t>
            </w:r>
          </w:p>
        </w:tc>
        <w:tc>
          <w:tcPr>
            <w:tcW w:type="dxa" w:w="1900"/>
            <w:tcMar>
              <w:top w:type="dxa" w:w="80"/>
              <w:left w:type="dxa" w:w="120"/>
              <w:bottom w:type="dxa" w:w="80"/>
              <w:right w:type="dxa" w:w="120"/>
            </w:tcMar>
          </w:tcPr>
          <w:p>
            <w:r>
              <w:rPr>
                <w:rFonts w:ascii="Calibri" w:cs="Calibri" w:eastAsia="Calibri" w:hAnsi="Calibri"/>
                <w:sz w:val="20"/>
                <w:szCs w:val="20"/>
              </w:rPr>
              <w:t xml:space="preserve">1.90</w:t>
            </w:r>
          </w:p>
        </w:tc>
        <w:tc>
          <w:tcPr>
            <w:tcW w:type="dxa" w:w="1900"/>
            <w:tcMar>
              <w:top w:type="dxa" w:w="80"/>
              <w:left w:type="dxa" w:w="120"/>
              <w:bottom w:type="dxa" w:w="80"/>
              <w:right w:type="dxa" w:w="120"/>
            </w:tcMar>
          </w:tcPr>
          <w:p>
            <w:r>
              <w:rPr>
                <w:rFonts w:ascii="Calibri" w:cs="Calibri" w:eastAsia="Calibri" w:hAnsi="Calibri"/>
                <w:sz w:val="20"/>
                <w:szCs w:val="20"/>
              </w:rPr>
              <w:t xml:space="preserve">1.90</w:t>
            </w:r>
          </w:p>
        </w:tc>
        <w:tc>
          <w:tcPr>
            <w:tcW w:type="dxa" w:w="2960"/>
            <w:tcMar>
              <w:top w:type="dxa" w:w="80"/>
              <w:left w:type="dxa" w:w="120"/>
              <w:bottom w:type="dxa" w:w="80"/>
              <w:right w:type="dxa" w:w="120"/>
            </w:tcMar>
          </w:tcPr>
          <w:p>
            <w:r>
              <w:rPr>
                <w:rFonts w:ascii="Calibri" w:cs="Calibri" w:eastAsia="Calibri" w:hAnsi="Calibri"/>
                <w:sz w:val="20"/>
                <w:szCs w:val="20"/>
              </w:rPr>
              <w:t xml:space="preserve"/>
            </w:r>
          </w:p>
        </w:tc>
      </w:tr>
      <w:tr>
        <w:tc>
          <w:tcPr>
            <w:tcW w:type="dxa" w:w="2600"/>
            <w:tcMar>
              <w:top w:type="dxa" w:w="80"/>
              <w:left w:type="dxa" w:w="120"/>
              <w:bottom w:type="dxa" w:w="80"/>
              <w:right w:type="dxa" w:w="120"/>
            </w:tcMar>
          </w:tcPr>
          <w:p>
            <w:r>
              <w:rPr>
                <w:rFonts w:ascii="Calibri" w:cs="Calibri" w:eastAsia="Calibri" w:hAnsi="Calibri"/>
                <w:sz w:val="20"/>
                <w:szCs w:val="20"/>
              </w:rPr>
              <w:t xml:space="preserve">Hippo</w:t>
            </w:r>
          </w:p>
        </w:tc>
        <w:tc>
          <w:tcPr>
            <w:tcW w:type="dxa" w:w="1900"/>
            <w:tcMar>
              <w:top w:type="dxa" w:w="80"/>
              <w:left w:type="dxa" w:w="120"/>
              <w:bottom w:type="dxa" w:w="80"/>
              <w:right w:type="dxa" w:w="120"/>
            </w:tcMar>
          </w:tcPr>
          <w:p>
            <w:r>
              <w:rPr>
                <w:rFonts w:ascii="Calibri" w:cs="Calibri" w:eastAsia="Calibri" w:hAnsi="Calibri"/>
                <w:sz w:val="20"/>
                <w:szCs w:val="20"/>
              </w:rPr>
              <w:t xml:space="preserve">2.22</w:t>
            </w:r>
          </w:p>
        </w:tc>
        <w:tc>
          <w:tcPr>
            <w:tcW w:type="dxa" w:w="1900"/>
            <w:tcMar>
              <w:top w:type="dxa" w:w="80"/>
              <w:left w:type="dxa" w:w="120"/>
              <w:bottom w:type="dxa" w:w="80"/>
              <w:right w:type="dxa" w:w="120"/>
            </w:tcMar>
          </w:tcPr>
          <w:p>
            <w:r>
              <w:rPr>
                <w:rFonts w:ascii="Calibri" w:cs="Calibri" w:eastAsia="Calibri" w:hAnsi="Calibri"/>
                <w:sz w:val="20"/>
                <w:szCs w:val="20"/>
              </w:rPr>
              <w:t xml:space="preserve">2.22</w:t>
            </w:r>
          </w:p>
        </w:tc>
        <w:tc>
          <w:tcPr>
            <w:tcW w:type="dxa" w:w="2960"/>
            <w:tcMar>
              <w:top w:type="dxa" w:w="80"/>
              <w:left w:type="dxa" w:w="120"/>
              <w:bottom w:type="dxa" w:w="80"/>
              <w:right w:type="dxa" w:w="120"/>
            </w:tcMar>
          </w:tcPr>
          <w:p>
            <w:r>
              <w:rPr>
                <w:rFonts w:ascii="Calibri" w:cs="Calibri" w:eastAsia="Calibri" w:hAnsi="Calibri"/>
                <w:sz w:val="20"/>
                <w:szCs w:val="20"/>
              </w:rPr>
              <w:t xml:space="preserve"/>
            </w:r>
          </w:p>
        </w:tc>
      </w:tr>
      <w:tr>
        <w:tc>
          <w:tcPr>
            <w:tcW w:type="dxa" w:w="2600"/>
            <w:tcMar>
              <w:top w:type="dxa" w:w="80"/>
              <w:left w:type="dxa" w:w="120"/>
              <w:bottom w:type="dxa" w:w="80"/>
              <w:right w:type="dxa" w:w="120"/>
            </w:tcMar>
          </w:tcPr>
          <w:p>
            <w:r>
              <w:rPr>
                <w:rFonts w:ascii="Calibri" w:cs="Calibri" w:eastAsia="Calibri" w:hAnsi="Calibri"/>
                <w:sz w:val="20"/>
                <w:szCs w:val="20"/>
              </w:rPr>
              <w:t xml:space="preserve">Balam</w:t>
            </w:r>
          </w:p>
        </w:tc>
        <w:tc>
          <w:tcPr>
            <w:tcW w:type="dxa" w:w="1900"/>
            <w:tcMar>
              <w:top w:type="dxa" w:w="80"/>
              <w:left w:type="dxa" w:w="120"/>
              <w:bottom w:type="dxa" w:w="80"/>
              <w:right w:type="dxa" w:w="120"/>
            </w:tcMar>
          </w:tcPr>
          <w:p>
            <w:r>
              <w:rPr>
                <w:rFonts w:ascii="Calibri" w:cs="Calibri" w:eastAsia="Calibri" w:hAnsi="Calibri"/>
                <w:sz w:val="20"/>
                <w:szCs w:val="20"/>
              </w:rPr>
              <w:t xml:space="preserve">2.83</w:t>
            </w:r>
          </w:p>
        </w:tc>
        <w:tc>
          <w:tcPr>
            <w:tcW w:type="dxa" w:w="1900"/>
            <w:tcMar>
              <w:top w:type="dxa" w:w="80"/>
              <w:left w:type="dxa" w:w="120"/>
              <w:bottom w:type="dxa" w:w="80"/>
              <w:right w:type="dxa" w:w="120"/>
            </w:tcMar>
          </w:tcPr>
          <w:p>
            <w:r>
              <w:rPr>
                <w:rFonts w:ascii="Calibri" w:cs="Calibri" w:eastAsia="Calibri" w:hAnsi="Calibri"/>
                <w:sz w:val="20"/>
                <w:szCs w:val="20"/>
              </w:rPr>
              <w:t xml:space="preserve">2.83</w:t>
            </w:r>
          </w:p>
        </w:tc>
        <w:tc>
          <w:tcPr>
            <w:tcW w:type="dxa" w:w="2960"/>
            <w:tcMar>
              <w:top w:type="dxa" w:w="80"/>
              <w:left w:type="dxa" w:w="120"/>
              <w:bottom w:type="dxa" w:w="80"/>
              <w:right w:type="dxa" w:w="120"/>
            </w:tcMar>
          </w:tcPr>
          <w:p>
            <w:r>
              <w:rPr>
                <w:rFonts w:ascii="Calibri" w:cs="Calibri" w:eastAsia="Calibri" w:hAnsi="Calibri"/>
                <w:sz w:val="20"/>
                <w:szCs w:val="20"/>
              </w:rPr>
              <w:t xml:space="preserve"/>
            </w:r>
          </w:p>
        </w:tc>
      </w:tr>
      <w:tr>
        <w:tc>
          <w:tcPr>
            <w:tcW w:type="dxa" w:w="2600"/>
            <w:tcMar>
              <w:top w:type="dxa" w:w="80"/>
              <w:left w:type="dxa" w:w="120"/>
              <w:bottom w:type="dxa" w:w="80"/>
              <w:right w:type="dxa" w:w="120"/>
            </w:tcMar>
          </w:tcPr>
          <w:p>
            <w:r>
              <w:rPr>
                <w:rFonts w:ascii="Calibri" w:cs="Calibri" w:eastAsia="Calibri" w:hAnsi="Calibri"/>
                <w:sz w:val="20"/>
                <w:szCs w:val="20"/>
              </w:rPr>
              <w:t xml:space="preserve">Lydia</w:t>
            </w:r>
          </w:p>
        </w:tc>
        <w:tc>
          <w:tcPr>
            <w:tcW w:type="dxa" w:w="1900"/>
            <w:tcMar>
              <w:top w:type="dxa" w:w="80"/>
              <w:left w:type="dxa" w:w="120"/>
              <w:bottom w:type="dxa" w:w="80"/>
              <w:right w:type="dxa" w:w="120"/>
            </w:tcMar>
          </w:tcPr>
          <w:p>
            <w:r>
              <w:rPr>
                <w:rFonts w:ascii="Calibri" w:cs="Calibri" w:eastAsia="Calibri" w:hAnsi="Calibri"/>
                <w:sz w:val="20"/>
                <w:szCs w:val="20"/>
              </w:rPr>
              <w:t xml:space="preserve">4.86</w:t>
            </w:r>
          </w:p>
        </w:tc>
        <w:tc>
          <w:tcPr>
            <w:tcW w:type="dxa" w:w="1900"/>
            <w:tcMar>
              <w:top w:type="dxa" w:w="80"/>
              <w:left w:type="dxa" w:w="120"/>
              <w:bottom w:type="dxa" w:w="80"/>
              <w:right w:type="dxa" w:w="120"/>
            </w:tcMar>
          </w:tcPr>
          <w:p>
            <w:r>
              <w:rPr>
                <w:rFonts w:ascii="Calibri" w:cs="Calibri" w:eastAsia="Calibri" w:hAnsi="Calibri"/>
                <w:sz w:val="20"/>
                <w:szCs w:val="20"/>
              </w:rPr>
              <w:t xml:space="preserve">4.86</w:t>
            </w:r>
          </w:p>
        </w:tc>
        <w:tc>
          <w:tcPr>
            <w:tcW w:type="dxa" w:w="2960"/>
            <w:tcMar>
              <w:top w:type="dxa" w:w="80"/>
              <w:left w:type="dxa" w:w="120"/>
              <w:bottom w:type="dxa" w:w="80"/>
              <w:right w:type="dxa" w:w="120"/>
            </w:tcMar>
          </w:tcPr>
          <w:p>
            <w:r>
              <w:rPr>
                <w:rFonts w:ascii="Calibri" w:cs="Calibri" w:eastAsia="Calibri" w:hAnsi="Calibri"/>
                <w:sz w:val="20"/>
                <w:szCs w:val="20"/>
              </w:rPr>
              <w:t xml:space="preserve">flagged — see Section 4</w:t>
            </w:r>
          </w:p>
        </w:tc>
      </w:tr>
    </w:tbl>
    <w:p>
      <w:pPr>
        <w:pStyle w:val="Heading1"/>
        <w:spacing w:after="160" w:before="320"/>
      </w:pPr>
      <w:r>
        <w:rPr>
          <w:rFonts w:ascii="Calibri" w:cs="Calibri" w:eastAsia="Calibri" w:hAnsi="Calibri"/>
        </w:rPr>
        <w:t xml:space="preserve">3. Diagnostics beyond the catalogue</w:t>
      </w:r>
    </w:p>
    <w:p>
      <w:pPr>
        <w:spacing w:after="160" w:line="276"/>
      </w:pPr>
      <w:r>
        <w:rPr>
          <w:rFonts w:ascii="Calibri" w:cs="Calibri" w:eastAsia="Calibri" w:hAnsi="Calibri"/>
          <w:sz w:val="22"/>
          <w:szCs w:val="22"/>
        </w:rPr>
        <w:t xml:space="preserve">Shape uncertainty — how much a round-shape assumption would inflate the volume of each body. Highest for the most irregular objects: 67P 56%, Itokawa 50%, Ryugu 43%, Bennu 28%. This quantifies precisely why real shape models matter for density work.</w:t>
      </w:r>
    </w:p>
    <w:p>
      <w:pPr>
        <w:spacing w:after="160" w:line="276"/>
      </w:pPr>
      <w:r>
        <w:rPr>
          <w:rFonts w:ascii="Calibri" w:cs="Calibri" w:eastAsia="Calibri" w:hAnsi="Calibri"/>
          <w:sz w:val="22"/>
          <w:szCs w:val="22"/>
        </w:rPr>
        <w:t xml:space="preserve">Macroporosity — from bulk density and composition: Bennu ≈ 50%, Ryugu ≈ 50%, Itokawa ≈ 42%, 67P ≈ 72%, consistent with the accepted rubble-pile picture.</w:t>
      </w:r>
    </w:p>
    <w:p>
      <w:pPr>
        <w:pStyle w:val="Heading1"/>
        <w:spacing w:after="160" w:before="320"/>
      </w:pPr>
      <w:r>
        <w:rPr>
          <w:rFonts w:ascii="Calibri" w:cs="Calibri" w:eastAsia="Calibri" w:hAnsi="Calibri"/>
        </w:rPr>
        <w:t xml:space="preserve">4. Physical-plausibility audit (independent reproduction and systematization)</w:t>
      </w:r>
    </w:p>
    <w:p>
      <w:pPr>
        <w:spacing w:after="160" w:line="276"/>
      </w:pPr>
      <w:r>
        <w:rPr>
          <w:rFonts w:ascii="Calibri" w:cs="Calibri" w:eastAsia="Calibri" w:hAnsi="Calibri"/>
          <w:sz w:val="22"/>
          <w:szCs w:val="22"/>
        </w:rPr>
        <w:t xml:space="preserve">A bulk density can never exceed the grain density of the body's own rock. Several catalogue entries violate this: carbonaceous asteroids (206) Hersilia, (410) Chloris, (34) Circe and (102) Miriam carry published densities of 4.5–6.1 g/cm³ against a carbonaceous grain density of ~2.2–2.9 g/cm³. These values are physically impossible as published, and since the diameters are well measured, the masses are implicated. (110) Lydia is flagged more cautiously on size grounds.</w:t>
      </w:r>
    </w:p>
    <w:p>
      <w:pPr>
        <w:spacing w:after="160" w:line="276"/>
      </w:pPr>
      <w:r>
        <w:rPr>
          <w:rFonts w:ascii="Calibri" w:cs="Calibri" w:eastAsia="Calibri" w:hAnsi="Calibri"/>
          <w:sz w:val="22"/>
          <w:szCs w:val="22"/>
        </w:rPr>
        <w:t xml:space="preserve">This audit was performed independently, but the concern is not new to the literature: Carry (2012) attached quality ranks flagging unrealistic densities, and Hanuš et al. (2013) already concluded that (34) Circe's mass is likely overestimated by ~2× — the same factor this audit derives. A newer ephemeris mass for (102) Miriam (Fienga et al. 2020) lowers its density to ~3.4 g/cm³, partially in the direction this audit predicts. The contribution claimed here is therefore threefold: independent confirmation of the published concerns, a systematic reproducible audit of the current SiMDA catalogue with open code, and explicit predicted mass ranges for each flagged body, stated in advance so that future measurements can test the method. Full predictions are given in the companion document 'BAGH_SIR — Falsifiable Predictions'.</w:t>
      </w:r>
    </w:p>
    <w:p>
      <w:pPr>
        <w:pStyle w:val="Heading1"/>
        <w:spacing w:after="160" w:before="320"/>
      </w:pPr>
      <w:r>
        <w:rPr>
          <w:rFonts w:ascii="Calibri" w:cs="Calibri" w:eastAsia="Calibri" w:hAnsi="Calibri"/>
        </w:rPr>
        <w:t xml:space="preserve">Method statement</w:t>
      </w:r>
    </w:p>
    <w:p>
      <w:pPr>
        <w:spacing w:after="160" w:line="276"/>
      </w:pPr>
      <w:r>
        <w:rPr>
          <w:rFonts w:ascii="Calibri" w:cs="Calibri" w:eastAsia="Calibri" w:hAnsi="Calibri"/>
          <w:sz w:val="22"/>
          <w:szCs w:val="22"/>
        </w:rPr>
        <w:t xml:space="preserve">Volume: signed-tetrahedron sum, cross-checked by projection sum; agreement to machine precision on all bodies. This is established computational geometry — a validated, transparent implementation, not new mathematics; the same standard method underlies the published mission volumes. Shape models: DAMIT, 3d-asteroids.space, JAXA DARTS, NASA PDS, ESA. Reference densities: SiMDA (Kretlow 2020) and mission papers (Lauretta+2019, Watanabe+2019, Fujiwara+2006, Pätzold+2016). Density-plausibility framework and prior flags: Britt et al. 2002; Carry 2012; Hanuš et al. 2013; Fienga et al.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2026-07-18T19:51:43.297Z</dcterms:created>
  <dcterms:modified xsi:type="dcterms:W3CDTF">2026-07-18T19:51:43.297Z</dcterms:modified>
</cp:coreProperties>
</file>

<file path=docProps/custom.xml><?xml version="1.0" encoding="utf-8"?>
<Properties xmlns="http://schemas.openxmlformats.org/officeDocument/2006/custom-properties" xmlns:vt="http://schemas.openxmlformats.org/officeDocument/2006/docPropsVTypes"/>
</file>