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97503" w14:textId="4563F3A7" w:rsidR="00701EE4" w:rsidRPr="00701EE4" w:rsidRDefault="00701EE4" w:rsidP="00701EE4">
      <w:pPr>
        <w:rPr>
          <w:b/>
          <w:bCs/>
        </w:rPr>
      </w:pPr>
      <w:r w:rsidRPr="00701EE4">
        <w:rPr>
          <w:b/>
          <w:bCs/>
        </w:rPr>
        <w:t xml:space="preserve">Scenario 1 – </w:t>
      </w:r>
      <w:r>
        <w:rPr>
          <w:b/>
          <w:bCs/>
        </w:rPr>
        <w:t>No Filters</w:t>
      </w:r>
    </w:p>
    <w:p w14:paraId="76CADA97" w14:textId="77777777" w:rsidR="00701EE4" w:rsidRPr="00701EE4" w:rsidRDefault="00701EE4" w:rsidP="00701EE4">
      <w:pPr>
        <w:rPr>
          <w:b/>
          <w:bCs/>
        </w:rPr>
      </w:pPr>
      <w:r w:rsidRPr="00701EE4">
        <w:rPr>
          <w:b/>
          <w:bCs/>
        </w:rPr>
        <w:t>Scenario description</w:t>
      </w:r>
    </w:p>
    <w:p w14:paraId="5F30BF46" w14:textId="77777777" w:rsidR="00701EE4" w:rsidRPr="00701EE4" w:rsidRDefault="00701EE4" w:rsidP="00701EE4">
      <w:r w:rsidRPr="00701EE4">
        <w:t xml:space="preserve">This baseline scenario includes the </w:t>
      </w:r>
      <w:r w:rsidRPr="00701EE4">
        <w:rPr>
          <w:b/>
          <w:bCs/>
        </w:rPr>
        <w:t>full set of IT/</w:t>
      </w:r>
      <w:proofErr w:type="spellStart"/>
      <w:r w:rsidRPr="00701EE4">
        <w:rPr>
          <w:b/>
          <w:bCs/>
        </w:rPr>
        <w:t>ITeS</w:t>
      </w:r>
      <w:proofErr w:type="spellEnd"/>
      <w:r w:rsidRPr="00701EE4">
        <w:rPr>
          <w:b/>
          <w:bCs/>
        </w:rPr>
        <w:t xml:space="preserve"> companies</w:t>
      </w:r>
      <w:r w:rsidRPr="00701EE4">
        <w:t xml:space="preserve"> without excluding any firms for export orientation or related party transactions (RPTs). Only the following basic eligibility filters were applied:</w:t>
      </w:r>
    </w:p>
    <w:p w14:paraId="6C26DA56" w14:textId="77777777" w:rsidR="00701EE4" w:rsidRPr="00701EE4" w:rsidRDefault="00701EE4" w:rsidP="00701EE4">
      <w:pPr>
        <w:numPr>
          <w:ilvl w:val="0"/>
          <w:numId w:val="1"/>
        </w:numPr>
      </w:pPr>
      <w:r w:rsidRPr="00701EE4">
        <w:rPr>
          <w:b/>
          <w:bCs/>
        </w:rPr>
        <w:t>Net worth &gt; 0</w:t>
      </w:r>
    </w:p>
    <w:p w14:paraId="29930363" w14:textId="77777777" w:rsidR="00701EE4" w:rsidRPr="00701EE4" w:rsidRDefault="00701EE4" w:rsidP="00701EE4">
      <w:pPr>
        <w:numPr>
          <w:ilvl w:val="0"/>
          <w:numId w:val="1"/>
        </w:numPr>
      </w:pPr>
      <w:r w:rsidRPr="00701EE4">
        <w:rPr>
          <w:b/>
          <w:bCs/>
        </w:rPr>
        <w:t>Persistent loss = 0</w:t>
      </w:r>
      <w:r w:rsidRPr="00701EE4">
        <w:t xml:space="preserve"> (i.e., excluded firms with negative operating profit across all years)</w:t>
      </w:r>
    </w:p>
    <w:p w14:paraId="07F5C768" w14:textId="77777777" w:rsidR="00701EE4" w:rsidRPr="00701EE4" w:rsidRDefault="00701EE4" w:rsidP="00701EE4">
      <w:pPr>
        <w:numPr>
          <w:ilvl w:val="0"/>
          <w:numId w:val="1"/>
        </w:numPr>
      </w:pPr>
      <w:r w:rsidRPr="00701EE4">
        <w:rPr>
          <w:b/>
          <w:bCs/>
        </w:rPr>
        <w:t>Employee cost ≥ 25% of OR</w:t>
      </w:r>
      <w:r w:rsidRPr="00701EE4">
        <w:t xml:space="preserve"> (ensuring service intensity)</w:t>
      </w:r>
    </w:p>
    <w:p w14:paraId="7AEF9D78" w14:textId="77777777" w:rsidR="00701EE4" w:rsidRPr="00701EE4" w:rsidRDefault="00701EE4" w:rsidP="00701EE4">
      <w:pPr>
        <w:numPr>
          <w:ilvl w:val="0"/>
          <w:numId w:val="1"/>
        </w:numPr>
      </w:pPr>
      <w:r w:rsidRPr="00701EE4">
        <w:rPr>
          <w:b/>
          <w:bCs/>
        </w:rPr>
        <w:t>Service income ≥ 75% of OR</w:t>
      </w:r>
      <w:r w:rsidRPr="00701EE4">
        <w:t xml:space="preserve"> (ensuring predominantly IT/</w:t>
      </w:r>
      <w:proofErr w:type="spellStart"/>
      <w:r w:rsidRPr="00701EE4">
        <w:t>ITeS</w:t>
      </w:r>
      <w:proofErr w:type="spellEnd"/>
      <w:r w:rsidRPr="00701EE4">
        <w:t xml:space="preserve"> activity)</w:t>
      </w:r>
    </w:p>
    <w:p w14:paraId="557909BE" w14:textId="77777777" w:rsidR="00701EE4" w:rsidRPr="00701EE4" w:rsidRDefault="00701EE4" w:rsidP="00701EE4">
      <w:r w:rsidRPr="00701EE4">
        <w:t xml:space="preserve">Final sample sizes: </w:t>
      </w:r>
      <w:r w:rsidRPr="00701EE4">
        <w:rPr>
          <w:b/>
          <w:bCs/>
        </w:rPr>
        <w:t>FY 2021-22: 1,650</w:t>
      </w:r>
      <w:r w:rsidRPr="00701EE4">
        <w:t xml:space="preserve">, </w:t>
      </w:r>
      <w:r w:rsidRPr="00701EE4">
        <w:rPr>
          <w:b/>
          <w:bCs/>
        </w:rPr>
        <w:t>FY 2022-23: 1,582</w:t>
      </w:r>
      <w:r w:rsidRPr="00701EE4">
        <w:t xml:space="preserve">, </w:t>
      </w:r>
      <w:r w:rsidRPr="00701EE4">
        <w:rPr>
          <w:b/>
          <w:bCs/>
        </w:rPr>
        <w:t>FY 2023-24: 1,350</w:t>
      </w:r>
      <w:r w:rsidRPr="00701EE4">
        <w:t xml:space="preserve"> firm-year observations.</w:t>
      </w:r>
    </w:p>
    <w:p w14:paraId="1F778F53" w14:textId="77777777" w:rsidR="00701EE4" w:rsidRDefault="00701EE4" w:rsidP="00701EE4">
      <w:r w:rsidRPr="00701EE4">
        <w:pict w14:anchorId="32A9BD17">
          <v:rect id="_x0000_i1056" style="width:0;height:1.5pt" o:hralign="center" o:hrstd="t" o:hr="t" fillcolor="#a0a0a0" stroked="f"/>
        </w:pict>
      </w:r>
    </w:p>
    <w:p w14:paraId="7D12E889" w14:textId="77777777" w:rsidR="000D2DB8" w:rsidRDefault="000D2DB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E70AF1" w14:textId="2E89F1ED" w:rsidR="000D2DB8" w:rsidRDefault="000D2DB8" w:rsidP="00701EE4">
      <w:pPr>
        <w:rPr>
          <w:b/>
          <w:bCs/>
          <w:u w:val="single"/>
        </w:rPr>
      </w:pPr>
      <w:r w:rsidRPr="000D2DB8">
        <w:rPr>
          <w:b/>
          <w:bCs/>
          <w:u w:val="single"/>
        </w:rPr>
        <w:lastRenderedPageBreak/>
        <w:t>Results:</w:t>
      </w:r>
    </w:p>
    <w:p w14:paraId="3FD44FF2" w14:textId="5886478E" w:rsidR="000D2DB8" w:rsidRDefault="000D2DB8" w:rsidP="00701EE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273F1F9" wp14:editId="7D063298">
            <wp:extent cx="5731510" cy="1586865"/>
            <wp:effectExtent l="0" t="0" r="2540" b="0"/>
            <wp:docPr id="498512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12929" name="Picture 4985129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949C" w14:textId="77777777" w:rsidR="000D2DB8" w:rsidRPr="000D2DB8" w:rsidRDefault="000D2DB8" w:rsidP="00701EE4">
      <w:pPr>
        <w:rPr>
          <w:b/>
          <w:bCs/>
          <w:u w:val="single"/>
        </w:rPr>
      </w:pPr>
    </w:p>
    <w:p w14:paraId="056C4DA1" w14:textId="77D5B098" w:rsidR="000D2DB8" w:rsidRDefault="000D2DB8" w:rsidP="00701EE4">
      <w:r>
        <w:rPr>
          <w:noProof/>
        </w:rPr>
        <w:drawing>
          <wp:inline distT="0" distB="0" distL="0" distR="0" wp14:anchorId="1992BF0C" wp14:editId="245C1E61">
            <wp:extent cx="5731510" cy="1586865"/>
            <wp:effectExtent l="0" t="0" r="2540" b="0"/>
            <wp:docPr id="143400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00659" name="Picture 14340006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A37B" w14:textId="77777777" w:rsidR="000D2DB8" w:rsidRDefault="000D2DB8" w:rsidP="00701EE4"/>
    <w:p w14:paraId="71B38CAA" w14:textId="77777777" w:rsidR="000D2DB8" w:rsidRDefault="000D2DB8" w:rsidP="00701EE4">
      <w:r>
        <w:rPr>
          <w:noProof/>
        </w:rPr>
        <w:drawing>
          <wp:inline distT="0" distB="0" distL="0" distR="0" wp14:anchorId="16EE869D" wp14:editId="72DD06D5">
            <wp:extent cx="5731510" cy="1570990"/>
            <wp:effectExtent l="0" t="0" r="2540" b="0"/>
            <wp:docPr id="1634329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9702" name="Picture 16343297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CC24" w14:textId="77777777" w:rsidR="000D2DB8" w:rsidRDefault="000D2DB8" w:rsidP="00701EE4"/>
    <w:p w14:paraId="73FB4CC4" w14:textId="77777777" w:rsidR="000D2DB8" w:rsidRDefault="000D2DB8" w:rsidP="00701EE4">
      <w:r>
        <w:rPr>
          <w:noProof/>
        </w:rPr>
        <w:drawing>
          <wp:inline distT="0" distB="0" distL="0" distR="0" wp14:anchorId="53C90AA8" wp14:editId="773622AC">
            <wp:extent cx="5731510" cy="1570990"/>
            <wp:effectExtent l="0" t="0" r="2540" b="0"/>
            <wp:docPr id="1771722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22793" name="Picture 17717227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087" w14:textId="77777777" w:rsidR="000D2DB8" w:rsidRDefault="000D2DB8" w:rsidP="00701EE4"/>
    <w:p w14:paraId="371E1D8E" w14:textId="10284567" w:rsidR="000D2DB8" w:rsidRDefault="000D2DB8" w:rsidP="00701EE4">
      <w:r>
        <w:rPr>
          <w:noProof/>
        </w:rPr>
        <w:lastRenderedPageBreak/>
        <w:drawing>
          <wp:inline distT="0" distB="0" distL="0" distR="0" wp14:anchorId="424A8968" wp14:editId="52CF567F">
            <wp:extent cx="5731510" cy="3154045"/>
            <wp:effectExtent l="0" t="0" r="2540" b="8255"/>
            <wp:docPr id="20491596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9652" name="Picture 20491596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1195" w14:textId="77777777" w:rsidR="000D2DB8" w:rsidRDefault="000D2DB8" w:rsidP="00701EE4"/>
    <w:p w14:paraId="0F600ECA" w14:textId="77777777" w:rsidR="000D2DB8" w:rsidRPr="000D2DB8" w:rsidRDefault="000D2DB8" w:rsidP="000D2DB8">
      <w:pPr>
        <w:rPr>
          <w:b/>
          <w:bCs/>
          <w:u w:val="single"/>
        </w:rPr>
      </w:pPr>
      <w:r w:rsidRPr="000D2DB8">
        <w:rPr>
          <w:b/>
          <w:bCs/>
          <w:u w:val="single"/>
        </w:rPr>
        <w:t>Interpretation:</w:t>
      </w:r>
    </w:p>
    <w:p w14:paraId="73240677" w14:textId="77777777" w:rsidR="000D2DB8" w:rsidRPr="000D2DB8" w:rsidRDefault="000D2DB8" w:rsidP="000D2DB8">
      <w:pPr>
        <w:rPr>
          <w:b/>
          <w:bCs/>
        </w:rPr>
      </w:pPr>
      <w:r w:rsidRPr="000D2DB8">
        <w:rPr>
          <w:b/>
          <w:bCs/>
        </w:rPr>
        <w:t>Direct OR vs PLI (linear form)</w:t>
      </w:r>
    </w:p>
    <w:p w14:paraId="4818EE14" w14:textId="77777777" w:rsidR="000D2DB8" w:rsidRPr="000D2DB8" w:rsidRDefault="000D2DB8" w:rsidP="000D2DB8">
      <w:r w:rsidRPr="000D2DB8">
        <w:rPr>
          <w:b/>
          <w:bCs/>
        </w:rPr>
        <w:t>OLS regression</w:t>
      </w:r>
    </w:p>
    <w:p w14:paraId="7F725000" w14:textId="77777777" w:rsidR="000D2DB8" w:rsidRPr="000D2DB8" w:rsidRDefault="000D2DB8" w:rsidP="000D2DB8">
      <w:pPr>
        <w:numPr>
          <w:ilvl w:val="0"/>
          <w:numId w:val="7"/>
        </w:numPr>
      </w:pPr>
      <w:r w:rsidRPr="000D2DB8">
        <w:t xml:space="preserve">Results show </w:t>
      </w:r>
      <w:r w:rsidRPr="000D2DB8">
        <w:rPr>
          <w:b/>
          <w:bCs/>
        </w:rPr>
        <w:t>extremely weak fit</w:t>
      </w:r>
      <w:r w:rsidRPr="000D2DB8">
        <w:t xml:space="preserve"> (R² &lt; 0.001 in all years).</w:t>
      </w:r>
    </w:p>
    <w:p w14:paraId="5F740EED" w14:textId="77777777" w:rsidR="000D2DB8" w:rsidRPr="000D2DB8" w:rsidRDefault="000D2DB8" w:rsidP="000D2DB8">
      <w:pPr>
        <w:numPr>
          <w:ilvl w:val="0"/>
          <w:numId w:val="7"/>
        </w:numPr>
      </w:pPr>
      <w:r w:rsidRPr="000D2DB8">
        <w:t>Slopes are statistically insignificant (p-values 0.44–0.69).</w:t>
      </w:r>
    </w:p>
    <w:p w14:paraId="026D8EEA" w14:textId="77777777" w:rsidR="000D2DB8" w:rsidRPr="000D2DB8" w:rsidRDefault="000D2DB8" w:rsidP="000D2DB8">
      <w:pPr>
        <w:numPr>
          <w:ilvl w:val="0"/>
          <w:numId w:val="7"/>
        </w:numPr>
      </w:pPr>
      <w:r w:rsidRPr="000D2DB8">
        <w:rPr>
          <w:b/>
          <w:bCs/>
        </w:rPr>
        <w:t>Inference:</w:t>
      </w:r>
      <w:r w:rsidRPr="000D2DB8">
        <w:t xml:space="preserve"> OLS finds no meaningful linear association between operating revenue and profitability.</w:t>
      </w:r>
    </w:p>
    <w:p w14:paraId="4010614D" w14:textId="77777777" w:rsidR="000D2DB8" w:rsidRPr="000D2DB8" w:rsidRDefault="000D2DB8" w:rsidP="000D2DB8">
      <w:r w:rsidRPr="000D2DB8">
        <w:rPr>
          <w:b/>
          <w:bCs/>
        </w:rPr>
        <w:t>Median regression</w:t>
      </w:r>
    </w:p>
    <w:p w14:paraId="4F71ACF4" w14:textId="77777777" w:rsidR="000D2DB8" w:rsidRPr="000D2DB8" w:rsidRDefault="000D2DB8" w:rsidP="000D2DB8">
      <w:pPr>
        <w:numPr>
          <w:ilvl w:val="0"/>
          <w:numId w:val="8"/>
        </w:numPr>
      </w:pPr>
      <w:r w:rsidRPr="000D2DB8">
        <w:t>Slopes are very small (≈0.0001) but statistically significant (p &lt; 0.02).</w:t>
      </w:r>
    </w:p>
    <w:p w14:paraId="5704DF49" w14:textId="77777777" w:rsidR="000D2DB8" w:rsidRPr="000D2DB8" w:rsidRDefault="000D2DB8" w:rsidP="000D2DB8">
      <w:pPr>
        <w:numPr>
          <w:ilvl w:val="0"/>
          <w:numId w:val="8"/>
        </w:numPr>
      </w:pPr>
      <w:r w:rsidRPr="000D2DB8">
        <w:t>Pseudo-R² is negligible (&lt;0.003).</w:t>
      </w:r>
    </w:p>
    <w:p w14:paraId="70F6DAC5" w14:textId="77777777" w:rsidR="000D2DB8" w:rsidRPr="000D2DB8" w:rsidRDefault="000D2DB8" w:rsidP="000D2DB8">
      <w:pPr>
        <w:numPr>
          <w:ilvl w:val="0"/>
          <w:numId w:val="8"/>
        </w:numPr>
      </w:pPr>
      <w:r w:rsidRPr="000D2DB8">
        <w:rPr>
          <w:b/>
          <w:bCs/>
        </w:rPr>
        <w:t>Inference:</w:t>
      </w:r>
      <w:r w:rsidRPr="000D2DB8">
        <w:t xml:space="preserve"> Although statistically detectable, the relationship is too weak to have substantive explanatory value.</w:t>
      </w:r>
    </w:p>
    <w:p w14:paraId="49339CF2" w14:textId="77777777" w:rsidR="000D2DB8" w:rsidRPr="000D2DB8" w:rsidRDefault="000D2DB8" w:rsidP="000D2DB8">
      <w:r w:rsidRPr="000D2DB8">
        <w:pict w14:anchorId="278A25D4">
          <v:rect id="_x0000_i1095" style="width:468pt;height:1.5pt" o:hralign="center" o:hrstd="t" o:hr="t" fillcolor="#a0a0a0" stroked="f"/>
        </w:pict>
      </w:r>
    </w:p>
    <w:p w14:paraId="5C18C09C" w14:textId="77777777" w:rsidR="000D2DB8" w:rsidRPr="000D2DB8" w:rsidRDefault="000D2DB8" w:rsidP="000D2DB8">
      <w:pPr>
        <w:rPr>
          <w:b/>
          <w:bCs/>
        </w:rPr>
      </w:pPr>
      <w:proofErr w:type="gramStart"/>
      <w:r w:rsidRPr="000D2DB8">
        <w:rPr>
          <w:b/>
          <w:bCs/>
        </w:rPr>
        <w:t>Log(</w:t>
      </w:r>
      <w:proofErr w:type="gramEnd"/>
      <w:r w:rsidRPr="000D2DB8">
        <w:rPr>
          <w:b/>
          <w:bCs/>
        </w:rPr>
        <w:t>OR) vs PLI (functional transformation)</w:t>
      </w:r>
    </w:p>
    <w:p w14:paraId="3CA21290" w14:textId="77777777" w:rsidR="000D2DB8" w:rsidRPr="000D2DB8" w:rsidRDefault="000D2DB8" w:rsidP="000D2DB8">
      <w:r w:rsidRPr="000D2DB8">
        <w:rPr>
          <w:b/>
          <w:bCs/>
        </w:rPr>
        <w:t>OLS regression</w:t>
      </w:r>
    </w:p>
    <w:p w14:paraId="30AEFBC0" w14:textId="77777777" w:rsidR="000D2DB8" w:rsidRPr="000D2DB8" w:rsidRDefault="000D2DB8" w:rsidP="000D2DB8">
      <w:pPr>
        <w:numPr>
          <w:ilvl w:val="0"/>
          <w:numId w:val="9"/>
        </w:numPr>
      </w:pPr>
      <w:r w:rsidRPr="000D2DB8">
        <w:t>Slopes are inconsistent (positive in two years, negative in one).</w:t>
      </w:r>
    </w:p>
    <w:p w14:paraId="43FCBBA2" w14:textId="77777777" w:rsidR="000D2DB8" w:rsidRPr="000D2DB8" w:rsidRDefault="000D2DB8" w:rsidP="000D2DB8">
      <w:pPr>
        <w:numPr>
          <w:ilvl w:val="0"/>
          <w:numId w:val="9"/>
        </w:numPr>
      </w:pPr>
      <w:r w:rsidRPr="000D2DB8">
        <w:t>Statistical significance is absent (p-values 0.07–0.92).</w:t>
      </w:r>
    </w:p>
    <w:p w14:paraId="51B7093F" w14:textId="77777777" w:rsidR="000D2DB8" w:rsidRPr="000D2DB8" w:rsidRDefault="000D2DB8" w:rsidP="000D2DB8">
      <w:pPr>
        <w:numPr>
          <w:ilvl w:val="0"/>
          <w:numId w:val="9"/>
        </w:numPr>
      </w:pPr>
      <w:r w:rsidRPr="000D2DB8">
        <w:t>R² values are near zero.</w:t>
      </w:r>
    </w:p>
    <w:p w14:paraId="75EA9617" w14:textId="77777777" w:rsidR="000D2DB8" w:rsidRPr="000D2DB8" w:rsidRDefault="000D2DB8" w:rsidP="000D2DB8">
      <w:pPr>
        <w:numPr>
          <w:ilvl w:val="0"/>
          <w:numId w:val="9"/>
        </w:numPr>
      </w:pPr>
      <w:r w:rsidRPr="000D2DB8">
        <w:rPr>
          <w:b/>
          <w:bCs/>
        </w:rPr>
        <w:t>Inference:</w:t>
      </w:r>
      <w:r w:rsidRPr="000D2DB8">
        <w:t xml:space="preserve"> Even with log transformation, OLS fails to capture any robust link between firm size and profitability.</w:t>
      </w:r>
    </w:p>
    <w:p w14:paraId="438CF940" w14:textId="77777777" w:rsidR="000D2DB8" w:rsidRPr="000D2DB8" w:rsidRDefault="000D2DB8" w:rsidP="000D2DB8">
      <w:r w:rsidRPr="000D2DB8">
        <w:rPr>
          <w:b/>
          <w:bCs/>
        </w:rPr>
        <w:lastRenderedPageBreak/>
        <w:t>Median regression</w:t>
      </w:r>
    </w:p>
    <w:p w14:paraId="1242E0B3" w14:textId="77777777" w:rsidR="000D2DB8" w:rsidRPr="000D2DB8" w:rsidRDefault="000D2DB8" w:rsidP="000D2DB8">
      <w:pPr>
        <w:numPr>
          <w:ilvl w:val="0"/>
          <w:numId w:val="10"/>
        </w:numPr>
      </w:pPr>
      <w:r w:rsidRPr="000D2DB8">
        <w:t>Slopes are positive and highly significant in all years (p &lt; 1e-5).</w:t>
      </w:r>
    </w:p>
    <w:p w14:paraId="2AB2DB57" w14:textId="77777777" w:rsidR="000D2DB8" w:rsidRPr="000D2DB8" w:rsidRDefault="000D2DB8" w:rsidP="000D2DB8">
      <w:pPr>
        <w:numPr>
          <w:ilvl w:val="0"/>
          <w:numId w:val="10"/>
        </w:numPr>
      </w:pPr>
      <w:r w:rsidRPr="000D2DB8">
        <w:t>Pseudo-R² improves to the 0.005–0.01 range.</w:t>
      </w:r>
    </w:p>
    <w:p w14:paraId="2A9567CE" w14:textId="77777777" w:rsidR="000D2DB8" w:rsidRPr="000D2DB8" w:rsidRDefault="000D2DB8" w:rsidP="000D2DB8">
      <w:pPr>
        <w:numPr>
          <w:ilvl w:val="0"/>
          <w:numId w:val="10"/>
        </w:numPr>
      </w:pPr>
      <w:r w:rsidRPr="000D2DB8">
        <w:t>Residual dispersion (MAD ≈ 5.7–6.2) is far lower than OLS residual SD (≈24–26), confirming robustness.</w:t>
      </w:r>
    </w:p>
    <w:p w14:paraId="40BC2373" w14:textId="77777777" w:rsidR="000D2DB8" w:rsidRPr="000D2DB8" w:rsidRDefault="000D2DB8" w:rsidP="000D2DB8">
      <w:pPr>
        <w:numPr>
          <w:ilvl w:val="0"/>
          <w:numId w:val="10"/>
        </w:numPr>
      </w:pPr>
      <w:r w:rsidRPr="000D2DB8">
        <w:rPr>
          <w:b/>
          <w:bCs/>
        </w:rPr>
        <w:t>Inference:</w:t>
      </w:r>
      <w:r w:rsidRPr="000D2DB8">
        <w:t xml:space="preserve"> Median regression on </w:t>
      </w:r>
      <w:proofErr w:type="gramStart"/>
      <w:r w:rsidRPr="000D2DB8">
        <w:t>log(</w:t>
      </w:r>
      <w:proofErr w:type="gramEnd"/>
      <w:r w:rsidRPr="000D2DB8">
        <w:t xml:space="preserve">OR) clearly provides the most stable and interpretable model — larger firms (higher </w:t>
      </w:r>
      <w:proofErr w:type="gramStart"/>
      <w:r w:rsidRPr="000D2DB8">
        <w:t>log(</w:t>
      </w:r>
      <w:proofErr w:type="gramEnd"/>
      <w:r w:rsidRPr="000D2DB8">
        <w:t>OR)) tend to achieve higher profitability on a median basis.</w:t>
      </w:r>
    </w:p>
    <w:p w14:paraId="0CA8D5E9" w14:textId="77777777" w:rsidR="000D2DB8" w:rsidRPr="000D2DB8" w:rsidRDefault="000D2DB8" w:rsidP="000D2DB8">
      <w:r w:rsidRPr="000D2DB8">
        <w:pict w14:anchorId="79D9EAE9">
          <v:rect id="_x0000_i1096" style="width:468pt;height:1.5pt" o:hralign="center" o:hrstd="t" o:hr="t" fillcolor="#a0a0a0" stroked="f"/>
        </w:pict>
      </w:r>
    </w:p>
    <w:p w14:paraId="44230B09" w14:textId="77777777" w:rsidR="000D2DB8" w:rsidRPr="000D2DB8" w:rsidRDefault="000D2DB8" w:rsidP="000D2DB8">
      <w:pPr>
        <w:rPr>
          <w:b/>
          <w:bCs/>
        </w:rPr>
      </w:pPr>
      <w:r w:rsidRPr="000D2DB8">
        <w:rPr>
          <w:b/>
          <w:bCs/>
        </w:rPr>
        <w:t>Overall takeaway for Scenario 1</w:t>
      </w:r>
    </w:p>
    <w:p w14:paraId="0F6B2560" w14:textId="77777777" w:rsidR="000D2DB8" w:rsidRPr="000D2DB8" w:rsidRDefault="000D2DB8" w:rsidP="000D2DB8">
      <w:pPr>
        <w:numPr>
          <w:ilvl w:val="0"/>
          <w:numId w:val="11"/>
        </w:numPr>
      </w:pPr>
      <w:r w:rsidRPr="000D2DB8">
        <w:rPr>
          <w:b/>
          <w:bCs/>
        </w:rPr>
        <w:t xml:space="preserve">Median regression with </w:t>
      </w:r>
      <w:proofErr w:type="gramStart"/>
      <w:r w:rsidRPr="000D2DB8">
        <w:rPr>
          <w:b/>
          <w:bCs/>
        </w:rPr>
        <w:t>log(</w:t>
      </w:r>
      <w:proofErr w:type="gramEnd"/>
      <w:r w:rsidRPr="000D2DB8">
        <w:rPr>
          <w:b/>
          <w:bCs/>
        </w:rPr>
        <w:t>OR)</w:t>
      </w:r>
      <w:r w:rsidRPr="000D2DB8">
        <w:t xml:space="preserve"> outperforms all other specifications.</w:t>
      </w:r>
    </w:p>
    <w:p w14:paraId="1C8583D5" w14:textId="77777777" w:rsidR="000D2DB8" w:rsidRPr="000D2DB8" w:rsidRDefault="000D2DB8" w:rsidP="000D2DB8">
      <w:pPr>
        <w:numPr>
          <w:ilvl w:val="0"/>
          <w:numId w:val="11"/>
        </w:numPr>
      </w:pPr>
      <w:r w:rsidRPr="000D2DB8">
        <w:t xml:space="preserve">The relationship, while modest in explanatory power, is </w:t>
      </w:r>
      <w:r w:rsidRPr="000D2DB8">
        <w:rPr>
          <w:b/>
          <w:bCs/>
        </w:rPr>
        <w:t>statistically significant, robust to outliers, and economically interpretable</w:t>
      </w:r>
      <w:r w:rsidRPr="000D2DB8">
        <w:t>.</w:t>
      </w:r>
    </w:p>
    <w:p w14:paraId="491F3F72" w14:textId="77777777" w:rsidR="000D2DB8" w:rsidRPr="000D2DB8" w:rsidRDefault="000D2DB8" w:rsidP="000D2DB8"/>
    <w:p w14:paraId="4ED1D3AD" w14:textId="77777777" w:rsidR="000D2DB8" w:rsidRPr="000D2DB8" w:rsidRDefault="000D2DB8" w:rsidP="000D2DB8">
      <w:r w:rsidRPr="000D2DB8">
        <w:pict w14:anchorId="3815F5FD">
          <v:rect id="_x0000_i1097" style="width:468pt;height:1.5pt" o:hralign="center" o:hrstd="t" o:hr="t" fillcolor="#a0a0a0" stroked="f"/>
        </w:pict>
      </w:r>
    </w:p>
    <w:p w14:paraId="62B276D3" w14:textId="77777777" w:rsidR="000D2DB8" w:rsidRPr="000D2DB8" w:rsidRDefault="000D2DB8" w:rsidP="000D2DB8">
      <w:pPr>
        <w:rPr>
          <w:b/>
          <w:bCs/>
        </w:rPr>
      </w:pPr>
      <w:r w:rsidRPr="000D2DB8">
        <w:rPr>
          <w:b/>
          <w:bCs/>
        </w:rPr>
        <w:t>Prediction Table:</w:t>
      </w:r>
    </w:p>
    <w:p w14:paraId="73857AD4" w14:textId="77777777" w:rsidR="000D2DB8" w:rsidRPr="000D2DB8" w:rsidRDefault="000D2DB8" w:rsidP="000D2DB8">
      <w:r w:rsidRPr="000D2DB8">
        <w:t xml:space="preserve">Based on the analysis, the median regression with </w:t>
      </w:r>
      <w:proofErr w:type="gramStart"/>
      <w:r w:rsidRPr="000D2DB8">
        <w:t>log(</w:t>
      </w:r>
      <w:proofErr w:type="gramEnd"/>
      <w:r w:rsidRPr="000D2DB8">
        <w:t>OR) emerges as the most significant and robust model. Accordingly, the following table presents predicted PLI values generated from this model for different levels of Operating Revenue (</w:t>
      </w:r>
      <w:proofErr w:type="spellStart"/>
      <w:r w:rsidRPr="000D2DB8">
        <w:t>Op_Rev</w:t>
      </w:r>
      <w:proofErr w:type="spellEnd"/>
      <w:r w:rsidRPr="000D2DB8">
        <w:t>).</w:t>
      </w:r>
    </w:p>
    <w:p w14:paraId="62C612B8" w14:textId="77777777" w:rsidR="000D2DB8" w:rsidRPr="000D2DB8" w:rsidRDefault="000D2DB8" w:rsidP="000D2DB8">
      <w:pPr>
        <w:rPr>
          <w:b/>
          <w:bCs/>
        </w:rPr>
      </w:pPr>
    </w:p>
    <w:p w14:paraId="59D0348C" w14:textId="3164F6F6" w:rsidR="000D2DB8" w:rsidRDefault="000D2DB8" w:rsidP="00701EE4">
      <w:r w:rsidRPr="000D2DB8">
        <w:drawing>
          <wp:inline distT="0" distB="0" distL="0" distR="0" wp14:anchorId="3D8AC2CD" wp14:editId="737E6EE4">
            <wp:extent cx="3076575" cy="3676650"/>
            <wp:effectExtent l="0" t="0" r="9525" b="0"/>
            <wp:docPr id="19701555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25FD7"/>
    <w:multiLevelType w:val="multilevel"/>
    <w:tmpl w:val="172C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B7752"/>
    <w:multiLevelType w:val="multilevel"/>
    <w:tmpl w:val="C116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36480"/>
    <w:multiLevelType w:val="multilevel"/>
    <w:tmpl w:val="A52E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24CBB"/>
    <w:multiLevelType w:val="multilevel"/>
    <w:tmpl w:val="B4E4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D3EEC"/>
    <w:multiLevelType w:val="multilevel"/>
    <w:tmpl w:val="24E2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676AE"/>
    <w:multiLevelType w:val="multilevel"/>
    <w:tmpl w:val="7706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3567">
    <w:abstractNumId w:val="2"/>
  </w:num>
  <w:num w:numId="2" w16cid:durableId="289288882">
    <w:abstractNumId w:val="4"/>
  </w:num>
  <w:num w:numId="3" w16cid:durableId="247616687">
    <w:abstractNumId w:val="0"/>
  </w:num>
  <w:num w:numId="4" w16cid:durableId="553204240">
    <w:abstractNumId w:val="5"/>
  </w:num>
  <w:num w:numId="5" w16cid:durableId="582909470">
    <w:abstractNumId w:val="3"/>
  </w:num>
  <w:num w:numId="6" w16cid:durableId="1114397581">
    <w:abstractNumId w:val="1"/>
  </w:num>
  <w:num w:numId="7" w16cid:durableId="157188383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196745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5899163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839061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954212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E4"/>
    <w:rsid w:val="000D2DB8"/>
    <w:rsid w:val="00701EE4"/>
    <w:rsid w:val="009C68E5"/>
    <w:rsid w:val="00B752CC"/>
    <w:rsid w:val="00DD0D2E"/>
    <w:rsid w:val="00F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A81C"/>
  <w15:chartTrackingRefBased/>
  <w15:docId w15:val="{9D4BAFE7-DCE0-4894-85B8-A647D764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E4"/>
  </w:style>
  <w:style w:type="paragraph" w:styleId="Heading1">
    <w:name w:val="heading 1"/>
    <w:basedOn w:val="Normal"/>
    <w:next w:val="Normal"/>
    <w:link w:val="Heading1Char"/>
    <w:uiPriority w:val="9"/>
    <w:qFormat/>
    <w:rsid w:val="00701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E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E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RANGE1 TP-PUNE</dc:creator>
  <cp:keywords/>
  <dc:description/>
  <cp:lastModifiedBy>RANGE1 TP-PUNE</cp:lastModifiedBy>
  <cp:revision>3</cp:revision>
  <dcterms:created xsi:type="dcterms:W3CDTF">2025-09-01T12:39:00Z</dcterms:created>
  <dcterms:modified xsi:type="dcterms:W3CDTF">2025-09-01T12:54:00Z</dcterms:modified>
</cp:coreProperties>
</file>