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7503" w14:textId="1773462A" w:rsidR="00701EE4" w:rsidRPr="00701EE4" w:rsidRDefault="00701EE4" w:rsidP="00701EE4">
      <w:pPr>
        <w:rPr>
          <w:b/>
          <w:bCs/>
        </w:rPr>
      </w:pPr>
      <w:r w:rsidRPr="00701EE4">
        <w:rPr>
          <w:b/>
          <w:bCs/>
        </w:rPr>
        <w:t xml:space="preserve">Scenario </w:t>
      </w:r>
      <w:r w:rsidR="00CF24FE">
        <w:rPr>
          <w:b/>
          <w:bCs/>
        </w:rPr>
        <w:t>2</w:t>
      </w:r>
      <w:r w:rsidRPr="00701EE4">
        <w:rPr>
          <w:b/>
          <w:bCs/>
        </w:rPr>
        <w:t xml:space="preserve"> – </w:t>
      </w:r>
      <w:r>
        <w:rPr>
          <w:b/>
          <w:bCs/>
        </w:rPr>
        <w:t>No Filters</w:t>
      </w:r>
      <w:r w:rsidR="00CF24FE">
        <w:rPr>
          <w:b/>
          <w:bCs/>
        </w:rPr>
        <w:t xml:space="preserve"> (Outliers Removed)</w:t>
      </w:r>
    </w:p>
    <w:p w14:paraId="60DA80FC" w14:textId="77777777" w:rsidR="00CF24FE" w:rsidRPr="00CF24FE" w:rsidRDefault="00CF24FE" w:rsidP="00CF24FE">
      <w:pPr>
        <w:rPr>
          <w:b/>
          <w:bCs/>
        </w:rPr>
      </w:pPr>
      <w:r w:rsidRPr="00CF24FE">
        <w:rPr>
          <w:b/>
          <w:bCs/>
        </w:rPr>
        <w:t>Scenario description</w:t>
      </w:r>
    </w:p>
    <w:p w14:paraId="39932195" w14:textId="77777777" w:rsidR="00CF24FE" w:rsidRPr="00CF24FE" w:rsidRDefault="00CF24FE" w:rsidP="00CF24FE">
      <w:r w:rsidRPr="00CF24FE">
        <w:t>This scenario mirrors the baseline (Scenario 1) but additionally excludes statistical outliers in revenue and profitability. The applied filters are:</w:t>
      </w:r>
    </w:p>
    <w:p w14:paraId="5C7C2965" w14:textId="77777777" w:rsidR="00CF24FE" w:rsidRPr="00CF24FE" w:rsidRDefault="00CF24FE" w:rsidP="00CF24FE">
      <w:pPr>
        <w:numPr>
          <w:ilvl w:val="0"/>
          <w:numId w:val="12"/>
        </w:numPr>
      </w:pPr>
      <w:r w:rsidRPr="00CF24FE">
        <w:rPr>
          <w:b/>
          <w:bCs/>
        </w:rPr>
        <w:t>Net worth &gt; 0</w:t>
      </w:r>
    </w:p>
    <w:p w14:paraId="224CE07C" w14:textId="77777777" w:rsidR="00CF24FE" w:rsidRPr="00CF24FE" w:rsidRDefault="00CF24FE" w:rsidP="00CF24FE">
      <w:pPr>
        <w:numPr>
          <w:ilvl w:val="0"/>
          <w:numId w:val="12"/>
        </w:numPr>
      </w:pPr>
      <w:r w:rsidRPr="00CF24FE">
        <w:rPr>
          <w:b/>
          <w:bCs/>
        </w:rPr>
        <w:t>Persistent loss = 0</w:t>
      </w:r>
    </w:p>
    <w:p w14:paraId="7A4CB1E3" w14:textId="77777777" w:rsidR="00CF24FE" w:rsidRPr="00CF24FE" w:rsidRDefault="00CF24FE" w:rsidP="00CF24FE">
      <w:pPr>
        <w:numPr>
          <w:ilvl w:val="0"/>
          <w:numId w:val="12"/>
        </w:numPr>
      </w:pPr>
      <w:r w:rsidRPr="00CF24FE">
        <w:rPr>
          <w:b/>
          <w:bCs/>
        </w:rPr>
        <w:t>Employee cost ≥ 25% of OR</w:t>
      </w:r>
    </w:p>
    <w:p w14:paraId="6B513E2F" w14:textId="77777777" w:rsidR="00CF24FE" w:rsidRPr="00CF24FE" w:rsidRDefault="00CF24FE" w:rsidP="00CF24FE">
      <w:pPr>
        <w:numPr>
          <w:ilvl w:val="0"/>
          <w:numId w:val="12"/>
        </w:numPr>
      </w:pPr>
      <w:r w:rsidRPr="00CF24FE">
        <w:rPr>
          <w:b/>
          <w:bCs/>
        </w:rPr>
        <w:t>Service income ≥ 75% of OR</w:t>
      </w:r>
    </w:p>
    <w:p w14:paraId="26CB807F" w14:textId="04194896" w:rsidR="00CF24FE" w:rsidRPr="00CF24FE" w:rsidRDefault="00CF24FE" w:rsidP="00CF24FE">
      <w:pPr>
        <w:numPr>
          <w:ilvl w:val="0"/>
          <w:numId w:val="12"/>
        </w:numPr>
      </w:pPr>
      <w:r w:rsidRPr="00CF24FE">
        <w:rPr>
          <w:b/>
          <w:bCs/>
        </w:rPr>
        <w:t>Operating revenue between 1 and 30,000</w:t>
      </w:r>
      <w:r>
        <w:rPr>
          <w:b/>
          <w:bCs/>
        </w:rPr>
        <w:t xml:space="preserve"> Cr</w:t>
      </w:r>
    </w:p>
    <w:p w14:paraId="680D3F82" w14:textId="77777777" w:rsidR="00CF24FE" w:rsidRPr="00CF24FE" w:rsidRDefault="00CF24FE" w:rsidP="00CF24FE">
      <w:pPr>
        <w:numPr>
          <w:ilvl w:val="0"/>
          <w:numId w:val="12"/>
        </w:numPr>
      </w:pPr>
      <w:r w:rsidRPr="00CF24FE">
        <w:rPr>
          <w:b/>
          <w:bCs/>
        </w:rPr>
        <w:t>PLI between 0 and 50</w:t>
      </w:r>
    </w:p>
    <w:p w14:paraId="5F4A40FB" w14:textId="77777777" w:rsidR="00CF24FE" w:rsidRPr="00CF24FE" w:rsidRDefault="00CF24FE" w:rsidP="00CF24FE">
      <w:r w:rsidRPr="00CF24FE">
        <w:t xml:space="preserve">Final sample sizes: </w:t>
      </w:r>
      <w:r w:rsidRPr="00CF24FE">
        <w:rPr>
          <w:b/>
          <w:bCs/>
        </w:rPr>
        <w:t>FY 2021-22: 1,419</w:t>
      </w:r>
      <w:r w:rsidRPr="00CF24FE">
        <w:t xml:space="preserve">, </w:t>
      </w:r>
      <w:r w:rsidRPr="00CF24FE">
        <w:rPr>
          <w:b/>
          <w:bCs/>
        </w:rPr>
        <w:t>FY 2022-23: 1,372</w:t>
      </w:r>
      <w:r w:rsidRPr="00CF24FE">
        <w:t xml:space="preserve">, </w:t>
      </w:r>
      <w:r w:rsidRPr="00CF24FE">
        <w:rPr>
          <w:b/>
          <w:bCs/>
        </w:rPr>
        <w:t>FY 2023-24: 1,174</w:t>
      </w:r>
      <w:r w:rsidRPr="00CF24FE">
        <w:t xml:space="preserve"> firm-year observations.</w:t>
      </w:r>
    </w:p>
    <w:p w14:paraId="71514EE9" w14:textId="77777777" w:rsidR="00CF24FE" w:rsidRDefault="00CF24FE" w:rsidP="00701EE4"/>
    <w:p w14:paraId="1F778F53" w14:textId="300CACE3" w:rsidR="00701EE4" w:rsidRDefault="00701EE4" w:rsidP="00701EE4">
      <w:r w:rsidRPr="00701EE4">
        <w:pict w14:anchorId="32A9BD17">
          <v:rect id="_x0000_i1056" style="width:0;height:1.5pt" o:hralign="center" o:hrstd="t" o:hr="t" fillcolor="#a0a0a0" stroked="f"/>
        </w:pict>
      </w:r>
    </w:p>
    <w:p w14:paraId="7D12E889" w14:textId="77777777" w:rsidR="000D2DB8" w:rsidRDefault="000D2DB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E70AF1" w14:textId="2E89F1ED" w:rsidR="000D2DB8" w:rsidRDefault="000D2DB8" w:rsidP="00701EE4">
      <w:pPr>
        <w:rPr>
          <w:b/>
          <w:bCs/>
          <w:u w:val="single"/>
        </w:rPr>
      </w:pPr>
      <w:r w:rsidRPr="000D2DB8">
        <w:rPr>
          <w:b/>
          <w:bCs/>
          <w:u w:val="single"/>
        </w:rPr>
        <w:lastRenderedPageBreak/>
        <w:t>Results:</w:t>
      </w:r>
    </w:p>
    <w:p w14:paraId="3FD44FF2" w14:textId="5886478E" w:rsidR="000D2DB8" w:rsidRDefault="000D2DB8" w:rsidP="00701EE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273F1F9" wp14:editId="4CD707F0">
            <wp:extent cx="5731510" cy="1584970"/>
            <wp:effectExtent l="0" t="0" r="2540" b="0"/>
            <wp:docPr id="498512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2929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49C" w14:textId="77777777" w:rsidR="000D2DB8" w:rsidRPr="000D2DB8" w:rsidRDefault="000D2DB8" w:rsidP="00701EE4">
      <w:pPr>
        <w:rPr>
          <w:b/>
          <w:bCs/>
          <w:u w:val="single"/>
        </w:rPr>
      </w:pPr>
    </w:p>
    <w:p w14:paraId="056C4DA1" w14:textId="77D5B098" w:rsidR="000D2DB8" w:rsidRDefault="000D2DB8" w:rsidP="00701EE4">
      <w:r>
        <w:rPr>
          <w:noProof/>
        </w:rPr>
        <w:drawing>
          <wp:inline distT="0" distB="0" distL="0" distR="0" wp14:anchorId="1992BF0C" wp14:editId="24AE4698">
            <wp:extent cx="5731510" cy="1584970"/>
            <wp:effectExtent l="0" t="0" r="2540" b="0"/>
            <wp:docPr id="14340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006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A37B" w14:textId="77777777" w:rsidR="000D2DB8" w:rsidRDefault="000D2DB8" w:rsidP="00701EE4"/>
    <w:p w14:paraId="71B38CAA" w14:textId="77777777" w:rsidR="000D2DB8" w:rsidRDefault="000D2DB8" w:rsidP="00701EE4">
      <w:r>
        <w:rPr>
          <w:noProof/>
        </w:rPr>
        <w:drawing>
          <wp:inline distT="0" distB="0" distL="0" distR="0" wp14:anchorId="16EE869D" wp14:editId="274BDEC7">
            <wp:extent cx="5731125" cy="1570990"/>
            <wp:effectExtent l="0" t="0" r="3175" b="0"/>
            <wp:docPr id="1634329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9702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CC24" w14:textId="77777777" w:rsidR="000D2DB8" w:rsidRDefault="000D2DB8" w:rsidP="00701EE4"/>
    <w:p w14:paraId="73FB4CC4" w14:textId="77777777" w:rsidR="000D2DB8" w:rsidRDefault="000D2DB8" w:rsidP="00701EE4">
      <w:r>
        <w:rPr>
          <w:noProof/>
        </w:rPr>
        <w:drawing>
          <wp:inline distT="0" distB="0" distL="0" distR="0" wp14:anchorId="53C90AA8" wp14:editId="74F99EBE">
            <wp:extent cx="5731125" cy="1570990"/>
            <wp:effectExtent l="0" t="0" r="3175" b="0"/>
            <wp:docPr id="1771722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22793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087" w14:textId="77777777" w:rsidR="000D2DB8" w:rsidRDefault="000D2DB8" w:rsidP="00701EE4"/>
    <w:p w14:paraId="371E1D8E" w14:textId="10284567" w:rsidR="000D2DB8" w:rsidRDefault="000D2DB8" w:rsidP="00701EE4">
      <w:r>
        <w:rPr>
          <w:noProof/>
        </w:rPr>
        <w:lastRenderedPageBreak/>
        <w:drawing>
          <wp:inline distT="0" distB="0" distL="0" distR="0" wp14:anchorId="424A8968" wp14:editId="635CAA2E">
            <wp:extent cx="5731510" cy="3153931"/>
            <wp:effectExtent l="0" t="0" r="2540" b="8890"/>
            <wp:docPr id="2049159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9652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195" w14:textId="77777777" w:rsidR="000D2DB8" w:rsidRDefault="000D2DB8" w:rsidP="00701EE4"/>
    <w:p w14:paraId="0F600ECA" w14:textId="77777777" w:rsidR="000D2DB8" w:rsidRPr="000D2DB8" w:rsidRDefault="000D2DB8" w:rsidP="000D2DB8">
      <w:pPr>
        <w:rPr>
          <w:b/>
          <w:bCs/>
          <w:u w:val="single"/>
        </w:rPr>
      </w:pPr>
      <w:r w:rsidRPr="000D2DB8">
        <w:rPr>
          <w:b/>
          <w:bCs/>
          <w:u w:val="single"/>
        </w:rPr>
        <w:t>Interpretation:</w:t>
      </w:r>
    </w:p>
    <w:p w14:paraId="79878B5E" w14:textId="77777777" w:rsidR="00CF24FE" w:rsidRPr="00CF24FE" w:rsidRDefault="00CF24FE" w:rsidP="00CF24FE">
      <w:pPr>
        <w:rPr>
          <w:b/>
          <w:bCs/>
        </w:rPr>
      </w:pPr>
      <w:r w:rsidRPr="00CF24FE">
        <w:rPr>
          <w:b/>
          <w:bCs/>
        </w:rPr>
        <w:t>Direct OR vs PLI (linear form)</w:t>
      </w:r>
    </w:p>
    <w:p w14:paraId="5FFA9E44" w14:textId="77777777" w:rsidR="00CF24FE" w:rsidRPr="00CF24FE" w:rsidRDefault="00CF24FE" w:rsidP="00CF24FE">
      <w:r w:rsidRPr="00CF24FE">
        <w:rPr>
          <w:b/>
          <w:bCs/>
        </w:rPr>
        <w:t>OLS regression</w:t>
      </w:r>
    </w:p>
    <w:p w14:paraId="2C968021" w14:textId="77777777" w:rsidR="00CF24FE" w:rsidRPr="00CF24FE" w:rsidRDefault="00CF24FE" w:rsidP="00CF24FE">
      <w:pPr>
        <w:numPr>
          <w:ilvl w:val="0"/>
          <w:numId w:val="13"/>
        </w:numPr>
      </w:pPr>
      <w:r w:rsidRPr="00CF24FE">
        <w:t>R² values remain close to zero in all years.</w:t>
      </w:r>
    </w:p>
    <w:p w14:paraId="24BE3B45" w14:textId="77777777" w:rsidR="00CF24FE" w:rsidRPr="00CF24FE" w:rsidRDefault="00CF24FE" w:rsidP="00CF24FE">
      <w:pPr>
        <w:numPr>
          <w:ilvl w:val="0"/>
          <w:numId w:val="13"/>
        </w:numPr>
      </w:pPr>
      <w:r w:rsidRPr="00CF24FE">
        <w:t>Slopes are statistically insignificant (p-values 0.51–0.61).</w:t>
      </w:r>
    </w:p>
    <w:p w14:paraId="30F49245" w14:textId="77777777" w:rsidR="00CF24FE" w:rsidRPr="00CF24FE" w:rsidRDefault="00CF24FE" w:rsidP="00CF24FE">
      <w:pPr>
        <w:numPr>
          <w:ilvl w:val="0"/>
          <w:numId w:val="13"/>
        </w:numPr>
      </w:pPr>
      <w:r w:rsidRPr="00CF24FE">
        <w:rPr>
          <w:b/>
          <w:bCs/>
        </w:rPr>
        <w:t>Inference:</w:t>
      </w:r>
      <w:r w:rsidRPr="00CF24FE">
        <w:t xml:space="preserve"> No meaningful relationship detected between OR and profitability.</w:t>
      </w:r>
    </w:p>
    <w:p w14:paraId="319C307E" w14:textId="77777777" w:rsidR="00CF24FE" w:rsidRPr="00CF24FE" w:rsidRDefault="00CF24FE" w:rsidP="00CF24FE">
      <w:r w:rsidRPr="00CF24FE">
        <w:rPr>
          <w:b/>
          <w:bCs/>
        </w:rPr>
        <w:t>Median regression</w:t>
      </w:r>
    </w:p>
    <w:p w14:paraId="4FFD19EE" w14:textId="77777777" w:rsidR="00CF24FE" w:rsidRPr="00CF24FE" w:rsidRDefault="00CF24FE" w:rsidP="00CF24FE">
      <w:pPr>
        <w:numPr>
          <w:ilvl w:val="0"/>
          <w:numId w:val="14"/>
        </w:numPr>
      </w:pPr>
      <w:r w:rsidRPr="00CF24FE">
        <w:t xml:space="preserve">Slopes are very small (0.00003–0.00020) and </w:t>
      </w:r>
      <w:r w:rsidRPr="00CF24FE">
        <w:rPr>
          <w:b/>
          <w:bCs/>
        </w:rPr>
        <w:t>not statistically significant</w:t>
      </w:r>
      <w:r w:rsidRPr="00CF24FE">
        <w:t xml:space="preserve"> (p-values 0.15–0.80).</w:t>
      </w:r>
    </w:p>
    <w:p w14:paraId="3BD8963A" w14:textId="77777777" w:rsidR="00CF24FE" w:rsidRPr="00CF24FE" w:rsidRDefault="00CF24FE" w:rsidP="00CF24FE">
      <w:pPr>
        <w:numPr>
          <w:ilvl w:val="0"/>
          <w:numId w:val="14"/>
        </w:numPr>
      </w:pPr>
      <w:r w:rsidRPr="00CF24FE">
        <w:t>Pseudo-R² values are negligible (&lt;0.001).</w:t>
      </w:r>
    </w:p>
    <w:p w14:paraId="7F0815F1" w14:textId="77777777" w:rsidR="00CF24FE" w:rsidRPr="00CF24FE" w:rsidRDefault="00CF24FE" w:rsidP="00CF24FE">
      <w:pPr>
        <w:numPr>
          <w:ilvl w:val="0"/>
          <w:numId w:val="14"/>
        </w:numPr>
      </w:pPr>
      <w:r w:rsidRPr="00CF24FE">
        <w:rPr>
          <w:b/>
          <w:bCs/>
        </w:rPr>
        <w:t>Inference:</w:t>
      </w:r>
      <w:r w:rsidRPr="00CF24FE">
        <w:t xml:space="preserve"> After removing outliers, even the weak statistical significance observed earlier disappears. Direct OR does not explain profitability.</w:t>
      </w:r>
    </w:p>
    <w:p w14:paraId="743ECDD0" w14:textId="77777777" w:rsidR="00CF24FE" w:rsidRPr="00CF24FE" w:rsidRDefault="00CF24FE" w:rsidP="00CF24FE">
      <w:r w:rsidRPr="00CF24FE">
        <w:pict w14:anchorId="0EAAC694">
          <v:rect id="_x0000_i1117" style="width:0;height:1.5pt" o:hralign="center" o:hrstd="t" o:hr="t" fillcolor="#a0a0a0" stroked="f"/>
        </w:pict>
      </w:r>
    </w:p>
    <w:p w14:paraId="286A89CB" w14:textId="77777777" w:rsidR="00CF24FE" w:rsidRPr="00CF24FE" w:rsidRDefault="00CF24FE" w:rsidP="00CF24FE">
      <w:pPr>
        <w:rPr>
          <w:b/>
          <w:bCs/>
        </w:rPr>
      </w:pPr>
      <w:proofErr w:type="gramStart"/>
      <w:r w:rsidRPr="00CF24FE">
        <w:rPr>
          <w:b/>
          <w:bCs/>
        </w:rPr>
        <w:t>Log(</w:t>
      </w:r>
      <w:proofErr w:type="gramEnd"/>
      <w:r w:rsidRPr="00CF24FE">
        <w:rPr>
          <w:b/>
          <w:bCs/>
        </w:rPr>
        <w:t>OR) vs PLI (functional transformation)</w:t>
      </w:r>
    </w:p>
    <w:p w14:paraId="1A34F383" w14:textId="77777777" w:rsidR="00CF24FE" w:rsidRPr="00CF24FE" w:rsidRDefault="00CF24FE" w:rsidP="00CF24FE">
      <w:r w:rsidRPr="00CF24FE">
        <w:rPr>
          <w:b/>
          <w:bCs/>
        </w:rPr>
        <w:t>OLS regression</w:t>
      </w:r>
    </w:p>
    <w:p w14:paraId="7C6E95FE" w14:textId="77777777" w:rsidR="00CF24FE" w:rsidRPr="00CF24FE" w:rsidRDefault="00CF24FE" w:rsidP="00CF24FE">
      <w:pPr>
        <w:numPr>
          <w:ilvl w:val="0"/>
          <w:numId w:val="15"/>
        </w:numPr>
      </w:pPr>
      <w:r w:rsidRPr="00CF24FE">
        <w:t>Slopes are positive in all years, with significance in FY 2021-22 (p &lt; 0.001) and FY 2022-23 (p ≈ 0.028), but not in FY 2023-24 (p ≈ 0.45).</w:t>
      </w:r>
    </w:p>
    <w:p w14:paraId="397D3453" w14:textId="77777777" w:rsidR="00CF24FE" w:rsidRPr="00CF24FE" w:rsidRDefault="00CF24FE" w:rsidP="00CF24FE">
      <w:pPr>
        <w:numPr>
          <w:ilvl w:val="0"/>
          <w:numId w:val="15"/>
        </w:numPr>
      </w:pPr>
      <w:r w:rsidRPr="00CF24FE">
        <w:t>R² values remain modest (0.003–0.010).</w:t>
      </w:r>
    </w:p>
    <w:p w14:paraId="134D2228" w14:textId="77777777" w:rsidR="00CF24FE" w:rsidRPr="00CF24FE" w:rsidRDefault="00CF24FE" w:rsidP="00CF24FE">
      <w:pPr>
        <w:numPr>
          <w:ilvl w:val="0"/>
          <w:numId w:val="15"/>
        </w:numPr>
      </w:pPr>
      <w:r w:rsidRPr="00CF24FE">
        <w:rPr>
          <w:b/>
          <w:bCs/>
        </w:rPr>
        <w:t>Inference:</w:t>
      </w:r>
      <w:r w:rsidRPr="00CF24FE">
        <w:t xml:space="preserve"> OLS detects some association in earlier years, but the effect is unstable and weak.</w:t>
      </w:r>
    </w:p>
    <w:p w14:paraId="11240F62" w14:textId="77777777" w:rsidR="00CF24FE" w:rsidRPr="00CF24FE" w:rsidRDefault="00CF24FE" w:rsidP="00CF24FE">
      <w:r w:rsidRPr="00CF24FE">
        <w:rPr>
          <w:b/>
          <w:bCs/>
        </w:rPr>
        <w:t>Median regression</w:t>
      </w:r>
    </w:p>
    <w:p w14:paraId="2F6ED494" w14:textId="77777777" w:rsidR="00CF24FE" w:rsidRPr="00CF24FE" w:rsidRDefault="00CF24FE" w:rsidP="00CF24FE">
      <w:pPr>
        <w:numPr>
          <w:ilvl w:val="0"/>
          <w:numId w:val="16"/>
        </w:numPr>
      </w:pPr>
      <w:r w:rsidRPr="00CF24FE">
        <w:lastRenderedPageBreak/>
        <w:t xml:space="preserve">Slopes are positive and </w:t>
      </w:r>
      <w:r w:rsidRPr="00CF24FE">
        <w:rPr>
          <w:b/>
          <w:bCs/>
        </w:rPr>
        <w:t>highly significant across all years</w:t>
      </w:r>
      <w:r w:rsidRPr="00CF24FE">
        <w:t xml:space="preserve"> (p &lt; 0.001).</w:t>
      </w:r>
    </w:p>
    <w:p w14:paraId="49DE1186" w14:textId="77777777" w:rsidR="00CF24FE" w:rsidRPr="00CF24FE" w:rsidRDefault="00CF24FE" w:rsidP="00CF24FE">
      <w:pPr>
        <w:numPr>
          <w:ilvl w:val="0"/>
          <w:numId w:val="16"/>
        </w:numPr>
      </w:pPr>
      <w:r w:rsidRPr="00CF24FE">
        <w:t>Pseudo-R² improves (0.006–0.013), clearly higher than Scenario 1.</w:t>
      </w:r>
    </w:p>
    <w:p w14:paraId="675320C3" w14:textId="77777777" w:rsidR="00CF24FE" w:rsidRPr="00CF24FE" w:rsidRDefault="00CF24FE" w:rsidP="00CF24FE">
      <w:pPr>
        <w:numPr>
          <w:ilvl w:val="0"/>
          <w:numId w:val="16"/>
        </w:numPr>
      </w:pPr>
      <w:r w:rsidRPr="00CF24FE">
        <w:t>Residual MAD (≈4.7–5.0) is much lower than OLS residual SD (≈9.4–9.8), confirming robustness.</w:t>
      </w:r>
    </w:p>
    <w:p w14:paraId="7B1CC5EF" w14:textId="77777777" w:rsidR="00CF24FE" w:rsidRPr="00CF24FE" w:rsidRDefault="00CF24FE" w:rsidP="00CF24FE">
      <w:pPr>
        <w:numPr>
          <w:ilvl w:val="0"/>
          <w:numId w:val="16"/>
        </w:numPr>
      </w:pPr>
      <w:r w:rsidRPr="00CF24FE">
        <w:rPr>
          <w:b/>
          <w:bCs/>
        </w:rPr>
        <w:t>Inference:</w:t>
      </w:r>
      <w:r w:rsidRPr="00CF24FE">
        <w:t xml:space="preserve"> Median regression with </w:t>
      </w:r>
      <w:proofErr w:type="gramStart"/>
      <w:r w:rsidRPr="00CF24FE">
        <w:t>log(</w:t>
      </w:r>
      <w:proofErr w:type="gramEnd"/>
      <w:r w:rsidRPr="00CF24FE">
        <w:t>OR) remains the strongest model, with explanatory power improving once outliers are removed. Larger firms tend to exhibit higher profitability on a median basis.</w:t>
      </w:r>
    </w:p>
    <w:p w14:paraId="19E24DA6" w14:textId="77777777" w:rsidR="00CF24FE" w:rsidRPr="00CF24FE" w:rsidRDefault="00CF24FE" w:rsidP="00CF24FE">
      <w:r w:rsidRPr="00CF24FE">
        <w:pict w14:anchorId="4890E3FF">
          <v:rect id="_x0000_i1118" style="width:0;height:1.5pt" o:hralign="center" o:hrstd="t" o:hr="t" fillcolor="#a0a0a0" stroked="f"/>
        </w:pict>
      </w:r>
    </w:p>
    <w:p w14:paraId="19C99B78" w14:textId="77777777" w:rsidR="00CF24FE" w:rsidRPr="00CF24FE" w:rsidRDefault="00CF24FE" w:rsidP="00CF24FE">
      <w:pPr>
        <w:rPr>
          <w:b/>
          <w:bCs/>
        </w:rPr>
      </w:pPr>
      <w:r w:rsidRPr="00CF24FE">
        <w:rPr>
          <w:b/>
          <w:bCs/>
        </w:rPr>
        <w:t>Overall takeaway for Scenario 2</w:t>
      </w:r>
    </w:p>
    <w:p w14:paraId="665E0CFA" w14:textId="77777777" w:rsidR="00CF24FE" w:rsidRPr="00CF24FE" w:rsidRDefault="00CF24FE" w:rsidP="00CF24FE">
      <w:pPr>
        <w:numPr>
          <w:ilvl w:val="0"/>
          <w:numId w:val="17"/>
        </w:numPr>
      </w:pPr>
      <w:r w:rsidRPr="00CF24FE">
        <w:t>Outlier removal eliminates spurious significance in the direct OR–PLI relationship.</w:t>
      </w:r>
    </w:p>
    <w:p w14:paraId="4124D07A" w14:textId="77777777" w:rsidR="00CF24FE" w:rsidRPr="00CF24FE" w:rsidRDefault="00CF24FE" w:rsidP="00CF24FE">
      <w:pPr>
        <w:numPr>
          <w:ilvl w:val="0"/>
          <w:numId w:val="17"/>
        </w:numPr>
      </w:pPr>
      <w:r w:rsidRPr="00CF24FE">
        <w:rPr>
          <w:b/>
          <w:bCs/>
        </w:rPr>
        <w:t xml:space="preserve">Median regression with </w:t>
      </w:r>
      <w:proofErr w:type="gramStart"/>
      <w:r w:rsidRPr="00CF24FE">
        <w:rPr>
          <w:b/>
          <w:bCs/>
        </w:rPr>
        <w:t>log(</w:t>
      </w:r>
      <w:proofErr w:type="gramEnd"/>
      <w:r w:rsidRPr="00CF24FE">
        <w:rPr>
          <w:b/>
          <w:bCs/>
        </w:rPr>
        <w:t>OR)</w:t>
      </w:r>
      <w:r w:rsidRPr="00CF24FE">
        <w:t xml:space="preserve"> continues to be the most reliable specification, now showing </w:t>
      </w:r>
      <w:r w:rsidRPr="00CF24FE">
        <w:rPr>
          <w:b/>
          <w:bCs/>
        </w:rPr>
        <w:t>clearer and stronger associations</w:t>
      </w:r>
      <w:r w:rsidRPr="00CF24FE">
        <w:t xml:space="preserve"> than in Scenario 1.</w:t>
      </w:r>
    </w:p>
    <w:p w14:paraId="491F3F72" w14:textId="77777777" w:rsidR="000D2DB8" w:rsidRPr="000D2DB8" w:rsidRDefault="000D2DB8" w:rsidP="000D2DB8"/>
    <w:p w14:paraId="4ED1D3AD" w14:textId="77777777" w:rsidR="000D2DB8" w:rsidRPr="000D2DB8" w:rsidRDefault="000D2DB8" w:rsidP="000D2DB8">
      <w:r w:rsidRPr="000D2DB8">
        <w:pict w14:anchorId="3815F5FD">
          <v:rect id="_x0000_i1097" style="width:468pt;height:1.5pt" o:hralign="center" o:hrstd="t" o:hr="t" fillcolor="#a0a0a0" stroked="f"/>
        </w:pict>
      </w:r>
    </w:p>
    <w:p w14:paraId="62B276D3" w14:textId="77777777" w:rsidR="000D2DB8" w:rsidRPr="000D2DB8" w:rsidRDefault="000D2DB8" w:rsidP="000D2DB8">
      <w:pPr>
        <w:rPr>
          <w:b/>
          <w:bCs/>
        </w:rPr>
      </w:pPr>
      <w:r w:rsidRPr="000D2DB8">
        <w:rPr>
          <w:b/>
          <w:bCs/>
        </w:rPr>
        <w:t>Prediction Table:</w:t>
      </w:r>
    </w:p>
    <w:p w14:paraId="73857AD4" w14:textId="77777777" w:rsidR="000D2DB8" w:rsidRPr="000D2DB8" w:rsidRDefault="000D2DB8" w:rsidP="000D2DB8">
      <w:r w:rsidRPr="000D2DB8">
        <w:t xml:space="preserve">Based on the analysis, the median regression with </w:t>
      </w:r>
      <w:proofErr w:type="gramStart"/>
      <w:r w:rsidRPr="000D2DB8">
        <w:t>log(</w:t>
      </w:r>
      <w:proofErr w:type="gramEnd"/>
      <w:r w:rsidRPr="000D2DB8">
        <w:t>OR) emerges as the most significant and robust model. Accordingly, the following table presents predicted PLI values generated from this model for different levels of Operating Revenue (</w:t>
      </w:r>
      <w:proofErr w:type="spellStart"/>
      <w:r w:rsidRPr="000D2DB8">
        <w:t>Op_Rev</w:t>
      </w:r>
      <w:proofErr w:type="spellEnd"/>
      <w:r w:rsidRPr="000D2DB8">
        <w:t>).</w:t>
      </w:r>
    </w:p>
    <w:p w14:paraId="62C612B8" w14:textId="77777777" w:rsidR="000D2DB8" w:rsidRPr="000D2DB8" w:rsidRDefault="000D2DB8" w:rsidP="000D2DB8">
      <w:pPr>
        <w:rPr>
          <w:b/>
          <w:bCs/>
        </w:rPr>
      </w:pPr>
    </w:p>
    <w:p w14:paraId="59D0348C" w14:textId="3164F6F6" w:rsidR="000D2DB8" w:rsidRDefault="000D2DB8" w:rsidP="00701EE4">
      <w:r w:rsidRPr="000D2DB8">
        <w:drawing>
          <wp:inline distT="0" distB="0" distL="0" distR="0" wp14:anchorId="3D8AC2CD" wp14:editId="40965C38">
            <wp:extent cx="3076575" cy="3635952"/>
            <wp:effectExtent l="0" t="0" r="0" b="3175"/>
            <wp:docPr id="1970155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5579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3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5FD7"/>
    <w:multiLevelType w:val="multilevel"/>
    <w:tmpl w:val="172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115E2"/>
    <w:multiLevelType w:val="multilevel"/>
    <w:tmpl w:val="4730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21F6"/>
    <w:multiLevelType w:val="multilevel"/>
    <w:tmpl w:val="335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B7752"/>
    <w:multiLevelType w:val="multilevel"/>
    <w:tmpl w:val="C11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36480"/>
    <w:multiLevelType w:val="multilevel"/>
    <w:tmpl w:val="A52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D408F"/>
    <w:multiLevelType w:val="multilevel"/>
    <w:tmpl w:val="F2C6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35C7B"/>
    <w:multiLevelType w:val="multilevel"/>
    <w:tmpl w:val="63F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24CBB"/>
    <w:multiLevelType w:val="multilevel"/>
    <w:tmpl w:val="B4E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52399"/>
    <w:multiLevelType w:val="multilevel"/>
    <w:tmpl w:val="9EA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51C32"/>
    <w:multiLevelType w:val="multilevel"/>
    <w:tmpl w:val="AC9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D3EEC"/>
    <w:multiLevelType w:val="multilevel"/>
    <w:tmpl w:val="24E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676AE"/>
    <w:multiLevelType w:val="multilevel"/>
    <w:tmpl w:val="770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3567">
    <w:abstractNumId w:val="4"/>
  </w:num>
  <w:num w:numId="2" w16cid:durableId="289288882">
    <w:abstractNumId w:val="10"/>
  </w:num>
  <w:num w:numId="3" w16cid:durableId="247616687">
    <w:abstractNumId w:val="0"/>
  </w:num>
  <w:num w:numId="4" w16cid:durableId="553204240">
    <w:abstractNumId w:val="11"/>
  </w:num>
  <w:num w:numId="5" w16cid:durableId="582909470">
    <w:abstractNumId w:val="7"/>
  </w:num>
  <w:num w:numId="6" w16cid:durableId="1114397581">
    <w:abstractNumId w:val="3"/>
  </w:num>
  <w:num w:numId="7" w16cid:durableId="157188383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196745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5899163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839061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954212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10096723">
    <w:abstractNumId w:val="6"/>
  </w:num>
  <w:num w:numId="13" w16cid:durableId="181166361">
    <w:abstractNumId w:val="2"/>
  </w:num>
  <w:num w:numId="14" w16cid:durableId="69349646">
    <w:abstractNumId w:val="5"/>
  </w:num>
  <w:num w:numId="15" w16cid:durableId="675693053">
    <w:abstractNumId w:val="1"/>
  </w:num>
  <w:num w:numId="16" w16cid:durableId="1035154003">
    <w:abstractNumId w:val="8"/>
  </w:num>
  <w:num w:numId="17" w16cid:durableId="674694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4"/>
    <w:rsid w:val="000D2DB8"/>
    <w:rsid w:val="002A4989"/>
    <w:rsid w:val="00701EE4"/>
    <w:rsid w:val="009C68E5"/>
    <w:rsid w:val="00B752CC"/>
    <w:rsid w:val="00CF24FE"/>
    <w:rsid w:val="00DD0D2E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A81C"/>
  <w15:chartTrackingRefBased/>
  <w15:docId w15:val="{9D4BAFE7-DCE0-4894-85B8-A647D764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E4"/>
  </w:style>
  <w:style w:type="paragraph" w:styleId="Heading1">
    <w:name w:val="heading 1"/>
    <w:basedOn w:val="Normal"/>
    <w:next w:val="Normal"/>
    <w:link w:val="Heading1Char"/>
    <w:uiPriority w:val="9"/>
    <w:qFormat/>
    <w:rsid w:val="0070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RANGE1 TP-PUNE</dc:creator>
  <cp:keywords/>
  <dc:description/>
  <cp:lastModifiedBy>RANGE1 TP-PUNE</cp:lastModifiedBy>
  <cp:revision>3</cp:revision>
  <dcterms:created xsi:type="dcterms:W3CDTF">2025-09-01T13:04:00Z</dcterms:created>
  <dcterms:modified xsi:type="dcterms:W3CDTF">2025-09-01T13:11:00Z</dcterms:modified>
</cp:coreProperties>
</file>