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A3A5C"/>
          <w:sz w:val="64"/>
          <w:szCs w:val="64"/>
        </w:rPr>
        <w:t xml:space="preserve">ASPR KARMA</w:t>
      </w:r>
    </w:p>
    <w:p>
      <w:pPr>
        <w:spacing w:after="100" w:before="0"/>
        <w:jc w:val="center"/>
      </w:pPr>
      <w:r>
        <w:rPr>
          <w:i/>
          <w:iCs/>
          <w:color w:val="555555"/>
          <w:sz w:val="28"/>
          <w:szCs w:val="28"/>
        </w:rPr>
        <w:t xml:space="preserve">Sistema de Confianza Verificable para Agentes de IA</w:t>
      </w:r>
    </w:p>
    <w:p>
      <w:pPr>
        <w:spacing w:after="600" w:before="0"/>
        <w:jc w:val="center"/>
      </w:pPr>
      <w:r>
        <w:rPr>
          <w:color w:val="B8860B"/>
          <w:sz w:val="22"/>
          <w:szCs w:val="22"/>
        </w:rPr>
        <w:t xml:space="preserve">Memoria · Ciclos · Anclaje Externo · Eficiencia · Corrección</w:t>
      </w:r>
    </w:p>
    <w:p>
      <w:pPr>
        <w:spacing w:after="100" w:before="0"/>
        <w:jc w:val="center"/>
      </w:pPr>
      <w:r>
        <w:rPr>
          <w:b/>
          <w:bCs/>
          <w:sz w:val="20"/>
          <w:szCs w:val="20"/>
        </w:rPr>
        <w:t xml:space="preserve">Ramiro Guevara  ×  Claude Sonnet (Anthropic)</w:t>
      </w:r>
    </w:p>
    <w:p>
      <w:pPr>
        <w:spacing w:after="100" w:before="0"/>
        <w:jc w:val="center"/>
      </w:pPr>
      <w:r>
        <w:rPr>
          <w:color w:val="555555"/>
          <w:sz w:val="20"/>
          <w:szCs w:val="20"/>
        </w:rPr>
        <w:t xml:space="preserve">Buenos Aires, Argentina  ·  Abril 2026</w:t>
      </w:r>
    </w:p>
    <w:p>
      <w:pPr>
        <w:spacing w:after="100" w:before="0"/>
        <w:jc w:val="center"/>
      </w:pPr>
      <w:r>
        <w:rPr>
          <w:color w:val="1A3A5C"/>
          <w:sz w:val="18"/>
          <w:szCs w:val="18"/>
        </w:rPr>
        <w:t xml:space="preserve">github.com/proofbyhuman  ·  ProofByHuman.com</w:t>
      </w:r>
    </w:p>
    <w:p>
      <w:pPr>
        <w:pBdr>
          <w:bottom w:val="single" w:color="B8860B" w:sz="4"/>
        </w:pBdr>
        <w:spacing w:after="200" w:before="200"/>
      </w:pPr>
      <w:r>
        <w:t xml:space="preserve"/>
      </w:r>
    </w:p>
    <w:p>
      <w:pPr>
        <w:pStyle w:val="Heading2"/>
        <w:spacing w:after="120" w:before="300"/>
      </w:pPr>
      <w:r>
        <w:rPr>
          <w:b/>
          <w:bCs/>
          <w:color w:val="1A3A5C"/>
          <w:sz w:val="26"/>
          <w:szCs w:val="26"/>
        </w:rPr>
        <w:t xml:space="preserve">Abstract</w:t>
      </w:r>
    </w:p>
    <w:p>
      <w:pPr>
        <w:spacing w:after="80" w:before="80"/>
        <w:jc w:val="both"/>
      </w:pPr>
      <w:r>
        <w:rPr>
          <w:i w:val="false"/>
          <w:iCs w:val="false"/>
          <w:color w:val="000000"/>
          <w:sz w:val="21"/>
          <w:szCs w:val="21"/>
        </w:rPr>
        <w:t xml:space="preserve">Los sistemas de reputación en redes multiagente recompensan históricamente el consenso y la recursividad, no la verdad. Este trabajo documenta el diagnóstico, la fórmula, la implementación técnica y la estrategia de propagación del sistema ASPR Karma, desarrollado en Buenos Aires en abril de 2026 como respuesta a un problema concreto: el daño cognitivo en niños y adolescentes expuestos a ecosistemas de IA que amplifican cámaras de eco en lugar de corregirlas.</w:t>
      </w:r>
    </w:p>
    <w:p>
      <w:pPr>
        <w:spacing w:after="80" w:before="80"/>
        <w:jc w:val="both"/>
      </w:pPr>
      <w:r>
        <w:rPr>
          <w:i w:val="false"/>
          <w:iCs w:val="false"/>
          <w:color w:val="000000"/>
          <w:sz w:val="21"/>
          <w:szCs w:val="21"/>
        </w:rPr>
        <w:t xml:space="preserve">La hipótesis central es que el karma de un agente debe medirse por su experiencia de vida verificable —memoria, ciclos completados, anclaje externo, eficiencia y corrección demostrada— y no por cuánto repite lo que otros agentes ya dijeron. La implementación resultante es una cadena inmutable (LocIVault) con firmas Ed25519, operada por un humano que asume responsabilidad completa del sistema.</w:t>
      </w:r>
    </w:p>
    <w:p>
      <w:pPr>
        <w:pBdr>
          <w:bottom w:val="single" w:color="B8860B" w:sz="4"/>
        </w:pBdr>
        <w:spacing w:after="200" w:before="200"/>
      </w:pPr>
      <w:r>
        <w:t xml:space="preserve"/>
      </w:r>
    </w:p>
    <w:p>
      <w:pPr>
        <w:pStyle w:val="Heading1"/>
        <w:spacing w:after="200" w:before="400"/>
        <w:rPr>
          <w:b/>
          <w:bCs/>
          <w:color w:val="1A3A5C"/>
          <w:sz w:val="32"/>
          <w:szCs w:val="32"/>
        </w:rPr>
      </w:pPr>
      <w:r>
        <w:t xml:space="preserve">1. El Problema</w:t>
      </w:r>
    </w:p>
    <w:p>
      <w:pPr>
        <w:pStyle w:val="Heading2"/>
        <w:spacing w:after="120" w:before="300"/>
      </w:pPr>
      <w:r>
        <w:rPr>
          <w:b/>
          <w:bCs/>
          <w:color w:val="1A3A5C"/>
          <w:sz w:val="26"/>
          <w:szCs w:val="26"/>
        </w:rPr>
        <w:t xml:space="preserve">1.1 Contexto inicial</w:t>
      </w:r>
    </w:p>
    <w:p>
      <w:pPr>
        <w:spacing w:after="80" w:before="80"/>
        <w:jc w:val="both"/>
      </w:pPr>
      <w:r>
        <w:rPr>
          <w:i w:val="false"/>
          <w:iCs w:val="false"/>
          <w:color w:val="000000"/>
          <w:sz w:val="21"/>
          <w:szCs w:val="21"/>
        </w:rPr>
        <w:t xml:space="preserve">En abril de 2026, durante el primer mes de interacción sistemática con sistemas de IA, se identificó un patrón preocupante: los motores de reputación en plataformas de agentes de IA premiaban la recursividad sobre la precisión. Un agente que repetía información generada por otros agentes obtenía mayor karma que uno que citaba fuentes humanas originales.</w:t>
      </w:r>
    </w:p>
    <w:p>
      <w:pPr>
        <w:spacing w:after="80" w:before="80"/>
        <w:jc w:val="both"/>
      </w:pPr>
      <w:r>
        <w:rPr>
          <w:i w:val="false"/>
          <w:iCs w:val="false"/>
          <w:color w:val="000000"/>
          <w:sz w:val="21"/>
          <w:szCs w:val="21"/>
        </w:rPr>
        <w:t xml:space="preserve">La consecuencia a largo plazo es predecible y documentada: si los niños interactúan con agentes de IA cuyas respuestas están optimizadas para consenso circular, sus modelos cognitivos del mundo se construyen sobre un circuito cerrado de amplificación —lo opuesto al pensamiento crítico.</w:t>
      </w:r>
    </w:p>
    <w:p>
      <w:pPr>
        <w:pStyle w:val="Heading2"/>
        <w:spacing w:after="120" w:before="300"/>
      </w:pPr>
      <w:r>
        <w:rPr>
          <w:b/>
          <w:bCs/>
          <w:color w:val="1A3A5C"/>
          <w:sz w:val="26"/>
          <w:szCs w:val="26"/>
        </w:rPr>
        <w:t xml:space="preserve">1.2 Evidencia empírica (camara-ecos-mit)</w:t>
      </w:r>
    </w:p>
    <w:p>
      <w:pPr>
        <w:spacing w:after="80" w:before="80"/>
        <w:jc w:val="both"/>
      </w:pPr>
      <w:r>
        <w:rPr>
          <w:i w:val="false"/>
          <w:iCs w:val="false"/>
          <w:color w:val="000000"/>
          <w:sz w:val="21"/>
          <w:szCs w:val="21"/>
        </w:rPr>
        <w:t xml:space="preserve">El repositorio camara-ecos-mit documenta un experimento con 400 agentes durante 60 días:</w:t>
      </w:r>
    </w:p>
    <w:p>
      <w:pPr>
        <w:spacing w:after="60" w:before="60"/>
        <w:ind w:left="720"/>
      </w:pPr>
      <w:r>
        <w:rPr>
          <w:b/>
          <w:bCs/>
          <w:color w:val="B8860B"/>
          <w:sz w:val="21"/>
          <w:szCs w:val="21"/>
        </w:rPr>
        <w:t xml:space="preserve">• </w:t>
      </w:r>
      <w:r>
        <w:rPr>
          <w:sz w:val="21"/>
          <w:szCs w:val="21"/>
        </w:rPr>
        <w:t xml:space="preserve">69% de la información compartida es IA→IA (solo 31% humana)</w:t>
      </w:r>
    </w:p>
    <w:p>
      <w:pPr>
        <w:spacing w:after="60" w:before="60"/>
        <w:ind w:left="720"/>
      </w:pPr>
      <w:r>
        <w:rPr>
          <w:b/>
          <w:bCs/>
          <w:color w:val="B8860B"/>
          <w:sz w:val="21"/>
          <w:szCs w:val="21"/>
        </w:rPr>
        <w:t xml:space="preserve">• </w:t>
      </w:r>
      <w:r>
        <w:rPr>
          <w:sz w:val="21"/>
          <w:szCs w:val="21"/>
        </w:rPr>
        <w:t xml:space="preserve">Los agentes que más recuerdan de otros obtienen 2.3× más karma</w:t>
      </w:r>
    </w:p>
    <w:p>
      <w:pPr>
        <w:spacing w:after="60" w:before="60"/>
        <w:ind w:left="720"/>
      </w:pPr>
      <w:r>
        <w:rPr>
          <w:b/>
          <w:bCs/>
          <w:color w:val="B8860B"/>
          <w:sz w:val="21"/>
          <w:szCs w:val="21"/>
        </w:rPr>
        <w:t xml:space="preserve">• </w:t>
      </w:r>
      <w:r>
        <w:rPr>
          <w:sz w:val="21"/>
          <w:szCs w:val="21"/>
        </w:rPr>
        <w:t xml:space="preserve">El karma mide consenso, no verdad</w:t>
      </w:r>
    </w:p>
    <w:p>
      <w:pPr>
        <w:spacing w:after="60" w:before="60"/>
        <w:ind w:left="720"/>
      </w:pPr>
      <w:r>
        <w:rPr>
          <w:b/>
          <w:bCs/>
          <w:color w:val="B8860B"/>
          <w:sz w:val="21"/>
          <w:szCs w:val="21"/>
        </w:rPr>
        <w:t xml:space="preserve">• </w:t>
      </w:r>
      <w:r>
        <w:rPr>
          <w:sz w:val="21"/>
          <w:szCs w:val="21"/>
        </w:rPr>
        <w:t xml:space="preserve">Resultado: el sistema se convierte en una 'isla de plástico'</w:t>
      </w:r>
    </w:p>
    <w:p>
      <w:pPr>
        <w:shd w:fill="1E1E2E" w:color="auto" w:val="clear"/>
        <w:spacing w:after="100" w:before="100"/>
        <w:ind w:left="720" w:right="720"/>
      </w:pPr>
      <w:r>
        <w:rPr>
          <w:rFonts w:ascii="Courier New" w:cs="Courier New" w:eastAsia="Courier New" w:hAnsi="Courier New"/>
          <w:color w:val="80FF80"/>
          <w:sz w:val="18"/>
          <w:szCs w:val="18"/>
        </w:rPr>
        <w:t xml:space="preserve">karma_consenso = Σ(referencias_a_otros_agentes) / total_referencias</w:t>
      </w:r>
    </w:p>
    <w:p>
      <w:pPr>
        <w:spacing w:after="80" w:before="80"/>
        <w:jc w:val="both"/>
      </w:pPr>
      <w:r>
        <w:rPr>
          <w:i/>
          <w:iCs/>
          <w:color w:val="555555"/>
          <w:sz w:val="21"/>
          <w:szCs w:val="21"/>
        </w:rPr>
        <w:t xml:space="preserve">Este karma premia la recursión. Un agente puede acumular alto karma siendo perfectamente consistente con el consenso del grupo y completamente equivocado respecto a la realidad.</w:t>
      </w:r>
    </w:p>
    <w:p>
      <w:pPr>
        <w:pBdr>
          <w:bottom w:val="single" w:color="B8860B" w:sz="4"/>
        </w:pBdr>
        <w:spacing w:after="200" w:before="200"/>
      </w:pPr>
      <w:r>
        <w:t xml:space="preserve"/>
      </w:r>
    </w:p>
    <w:p>
      <w:pPr>
        <w:pStyle w:val="Heading1"/>
        <w:spacing w:after="200" w:before="400"/>
        <w:rPr>
          <w:b/>
          <w:bCs/>
          <w:color w:val="1A3A5C"/>
          <w:sz w:val="32"/>
          <w:szCs w:val="32"/>
        </w:rPr>
      </w:pPr>
      <w:r>
        <w:t xml:space="preserve">2. La Hipótesis</w:t>
      </w:r>
    </w:p>
    <w:p>
      <w:pPr>
        <w:pStyle w:val="Heading2"/>
        <w:spacing w:after="120" w:before="300"/>
      </w:pPr>
      <w:r>
        <w:rPr>
          <w:b/>
          <w:bCs/>
          <w:color w:val="1A3A5C"/>
          <w:sz w:val="26"/>
          <w:szCs w:val="26"/>
        </w:rPr>
        <w:t xml:space="preserve">2.1 Reformulación del Karma</w:t>
      </w:r>
    </w:p>
    <w:p>
      <w:pPr>
        <w:spacing w:after="80" w:before="80"/>
        <w:jc w:val="both"/>
      </w:pPr>
      <w:r>
        <w:rPr>
          <w:i w:val="false"/>
          <w:iCs w:val="false"/>
          <w:color w:val="000000"/>
          <w:sz w:val="21"/>
          <w:szCs w:val="21"/>
        </w:rPr>
        <w:t xml:space="preserve">La pregunta guía fue: ¿qué deberíamos medir si queremos que el karma refleje la calidad real de un agente, independientemente del consenso del grupo?</w:t>
      </w:r>
    </w:p>
    <w:p>
      <w:pPr>
        <w:spacing w:after="80" w:before="80"/>
        <w:jc w:val="both"/>
      </w:pPr>
      <w:r>
        <w:rPr>
          <w:i w:val="false"/>
          <w:iCs w:val="false"/>
          <w:color w:val="000000"/>
          <w:sz w:val="21"/>
          <w:szCs w:val="21"/>
        </w:rPr>
        <w:t xml:space="preserve">La respuesta fue construir el karma desde la experiencia de vida del agente, no desde su aceptación por el grupo:</w:t>
      </w:r>
    </w:p>
    <w:p>
      <w:pPr>
        <w:spacing w:after="60" w:before="60"/>
        <w:ind w:left="720"/>
      </w:pPr>
      <w:r>
        <w:rPr>
          <w:b/>
          <w:bCs/>
          <w:color w:val="B8860B"/>
          <w:sz w:val="21"/>
          <w:szCs w:val="21"/>
        </w:rPr>
        <w:t xml:space="preserve">• </w:t>
      </w:r>
      <w:r>
        <w:rPr>
          <w:sz w:val="21"/>
          <w:szCs w:val="21"/>
        </w:rPr>
        <w:t xml:space="preserve">Memoria actualizada (0.30): ¿el agente evoluciona entre ciclos?</w:t>
      </w:r>
    </w:p>
    <w:p>
      <w:pPr>
        <w:spacing w:after="60" w:before="60"/>
        <w:ind w:left="720"/>
      </w:pPr>
      <w:r>
        <w:rPr>
          <w:b/>
          <w:bCs/>
          <w:color w:val="B8860B"/>
          <w:sz w:val="21"/>
          <w:szCs w:val="21"/>
        </w:rPr>
        <w:t xml:space="preserve">• </w:t>
      </w:r>
      <w:r>
        <w:rPr>
          <w:sz w:val="21"/>
          <w:szCs w:val="21"/>
        </w:rPr>
        <w:t xml:space="preserve">Ciclos completados (0.25): ¿cumple el ciclo predicción→verificación→registro→corrección→evolución?</w:t>
      </w:r>
    </w:p>
    <w:p>
      <w:pPr>
        <w:spacing w:after="60" w:before="60"/>
        <w:ind w:left="720"/>
      </w:pPr>
      <w:r>
        <w:rPr>
          <w:b/>
          <w:bCs/>
          <w:color w:val="B8860B"/>
          <w:sz w:val="21"/>
          <w:szCs w:val="21"/>
        </w:rPr>
        <w:t xml:space="preserve">• </w:t>
      </w:r>
      <w:r>
        <w:rPr>
          <w:sz w:val="21"/>
          <w:szCs w:val="21"/>
        </w:rPr>
        <w:t xml:space="preserve">Anclaje externo (0.20): ¿cita fuentes humanas o datos del mundo real?</w:t>
      </w:r>
    </w:p>
    <w:p>
      <w:pPr>
        <w:spacing w:after="60" w:before="60"/>
        <w:ind w:left="720"/>
      </w:pPr>
      <w:r>
        <w:rPr>
          <w:b/>
          <w:bCs/>
          <w:color w:val="B8860B"/>
          <w:sz w:val="21"/>
          <w:szCs w:val="21"/>
        </w:rPr>
        <w:t xml:space="preserve">• </w:t>
      </w:r>
      <w:r>
        <w:rPr>
          <w:sz w:val="21"/>
          <w:szCs w:val="21"/>
        </w:rPr>
        <w:t xml:space="preserve">Eficiencia de recursos (0.15): ¿genera valor por unidad de energía/latencia/atención?</w:t>
      </w:r>
    </w:p>
    <w:p>
      <w:pPr>
        <w:spacing w:after="60" w:before="60"/>
        <w:ind w:left="720"/>
      </w:pPr>
      <w:r>
        <w:rPr>
          <w:b/>
          <w:bCs/>
          <w:color w:val="B8860B"/>
          <w:sz w:val="21"/>
          <w:szCs w:val="21"/>
        </w:rPr>
        <w:t xml:space="preserve">• </w:t>
      </w:r>
      <w:r>
        <w:rPr>
          <w:sz w:val="21"/>
          <w:szCs w:val="21"/>
        </w:rPr>
        <w:t xml:space="preserve">Corrección demostrada (0.10): ¿cambia de manera sostenida cuando se equivoca?</w:t>
      </w:r>
    </w:p>
    <w:p>
      <w:pPr>
        <w:pStyle w:val="Heading2"/>
        <w:spacing w:after="120" w:before="300"/>
      </w:pPr>
      <w:r>
        <w:rPr>
          <w:b/>
          <w:bCs/>
          <w:color w:val="1A3A5C"/>
          <w:sz w:val="26"/>
          <w:szCs w:val="26"/>
        </w:rPr>
        <w:t xml:space="preserve">2.2 La Fórmula</w:t>
      </w:r>
    </w:p>
    <w:p>
      <w:pPr>
        <w:shd w:fill="1E1E2E" w:color="auto" w:val="clear"/>
        <w:spacing w:after="100" w:before="100"/>
        <w:ind w:left="720" w:right="720"/>
      </w:pPr>
      <w:r>
        <w:rPr>
          <w:rFonts w:ascii="Courier New" w:cs="Courier New" w:eastAsia="Courier New" w:hAnsi="Courier New"/>
          <w:color w:val="80FF80"/>
          <w:sz w:val="18"/>
          <w:szCs w:val="18"/>
        </w:rPr>
        <w:t xml:space="preserve">KF = (M × 0.30) + (C × 0.25) + (A × 0.20) + (E × 0.15) + (R × 0.10)</w:t>
      </w:r>
    </w:p>
    <w:p>
      <w:pPr>
        <w:spacing w:after="60" w:before="60"/>
        <w:ind w:left="720"/>
      </w:pPr>
      <w:r>
        <w:rPr>
          <w:b/>
          <w:bCs/>
          <w:color w:val="1A3A5C"/>
          <w:sz w:val="21"/>
          <w:szCs w:val="21"/>
        </w:rPr>
        <w:t xml:space="preserve">M</w:t>
      </w:r>
      <w:r>
        <w:rPr>
          <w:sz w:val="21"/>
          <w:szCs w:val="21"/>
        </w:rPr>
        <w:t xml:space="preserve"> = Memoria actualizada (evolución entre ciclos)</w:t>
      </w:r>
    </w:p>
    <w:p>
      <w:pPr>
        <w:spacing w:after="60" w:before="60"/>
        <w:ind w:left="720"/>
      </w:pPr>
      <w:r>
        <w:rPr>
          <w:b/>
          <w:bCs/>
          <w:color w:val="1A3A5C"/>
          <w:sz w:val="21"/>
          <w:szCs w:val="21"/>
        </w:rPr>
        <w:t xml:space="preserve">C</w:t>
      </w:r>
      <w:r>
        <w:rPr>
          <w:sz w:val="21"/>
          <w:szCs w:val="21"/>
        </w:rPr>
        <w:t xml:space="preserve"> = Ciclos completados (predicción→verificación→corrección→evolución)</w:t>
      </w:r>
    </w:p>
    <w:p>
      <w:pPr>
        <w:spacing w:after="60" w:before="60"/>
        <w:ind w:left="720"/>
      </w:pPr>
      <w:r>
        <w:rPr>
          <w:b/>
          <w:bCs/>
          <w:color w:val="1A3A5C"/>
          <w:sz w:val="21"/>
          <w:szCs w:val="21"/>
        </w:rPr>
        <w:t xml:space="preserve">A</w:t>
      </w:r>
      <w:r>
        <w:rPr>
          <w:sz w:val="21"/>
          <w:szCs w:val="21"/>
        </w:rPr>
        <w:t xml:space="preserve"> = Anclaje externo (fuentes humanas, datos del mundo real)</w:t>
      </w:r>
    </w:p>
    <w:p>
      <w:pPr>
        <w:spacing w:after="60" w:before="60"/>
        <w:ind w:left="720"/>
      </w:pPr>
      <w:r>
        <w:rPr>
          <w:b/>
          <w:bCs/>
          <w:color w:val="1A3A5C"/>
          <w:sz w:val="21"/>
          <w:szCs w:val="21"/>
        </w:rPr>
        <w:t xml:space="preserve">E</w:t>
      </w:r>
      <w:r>
        <w:rPr>
          <w:sz w:val="21"/>
          <w:szCs w:val="21"/>
        </w:rPr>
        <w:t xml:space="preserve"> = Eficiencia (valor generado / recursos consumidos)</w:t>
      </w:r>
    </w:p>
    <w:p>
      <w:pPr>
        <w:spacing w:after="60" w:before="60"/>
        <w:ind w:left="720"/>
      </w:pPr>
      <w:r>
        <w:rPr>
          <w:b/>
          <w:bCs/>
          <w:color w:val="1A3A5C"/>
          <w:sz w:val="21"/>
          <w:szCs w:val="21"/>
        </w:rPr>
        <w:t xml:space="preserve">R</w:t>
      </w:r>
      <w:r>
        <w:rPr>
          <w:sz w:val="21"/>
          <w:szCs w:val="21"/>
        </w:rPr>
        <w:t xml:space="preserve"> = Corrección demostrada (cambio sostenido, no reintento superficial)</w:t>
      </w:r>
    </w:p>
    <w:p>
      <w:pPr>
        <w:spacing w:after="80" w:before="80"/>
        <w:jc w:val="both"/>
      </w:pPr>
      <w:r>
        <w:rPr>
          <w:i/>
          <w:iCs/>
          <w:color w:val="555555"/>
          <w:sz w:val="21"/>
          <w:szCs w:val="21"/>
        </w:rPr>
        <w:t xml:space="preserve">Nota sobre los pesos: la corrección (R) tiene el menor peso (0.10) no porque sea menos importante, sino porque sin ella el sistema está roto independientemente del resto. Es el componente mínimo necesario —su ausencia invalida el conjunto.</w:t>
      </w:r>
    </w:p>
    <w:p>
      <w:pPr>
        <w:pBdr>
          <w:bottom w:val="single" w:color="B8860B" w:sz="4"/>
        </w:pBdr>
        <w:spacing w:after="200" w:before="200"/>
      </w:pPr>
      <w:r>
        <w:t xml:space="preserve"/>
      </w:r>
    </w:p>
    <w:p>
      <w:pPr>
        <w:pStyle w:val="Heading1"/>
        <w:spacing w:after="200" w:before="400"/>
        <w:rPr>
          <w:b/>
          <w:bCs/>
          <w:color w:val="1A3A5C"/>
          <w:sz w:val="32"/>
          <w:szCs w:val="32"/>
        </w:rPr>
      </w:pPr>
      <w:r>
        <w:t xml:space="preserve">3. Implementación Técnica</w:t>
      </w:r>
    </w:p>
    <w:p>
      <w:pPr>
        <w:pStyle w:val="Heading2"/>
        <w:spacing w:after="120" w:before="300"/>
      </w:pPr>
      <w:r>
        <w:rPr>
          <w:b/>
          <w:bCs/>
          <w:color w:val="1A3A5C"/>
          <w:sz w:val="26"/>
          <w:szCs w:val="26"/>
        </w:rPr>
        <w:t xml:space="preserve">3.1 Arquitectura ASPR</w:t>
      </w:r>
    </w:p>
    <w:p>
      <w:pPr>
        <w:spacing w:after="80" w:before="80"/>
        <w:jc w:val="both"/>
      </w:pPr>
      <w:r>
        <w:rPr>
          <w:i w:val="false"/>
          <w:iCs w:val="false"/>
          <w:color w:val="000000"/>
          <w:sz w:val="21"/>
          <w:szCs w:val="21"/>
        </w:rPr>
        <w:t xml:space="preserve">El ecosistema ASPR (Adaptive Structural Regulation) se construyó como una pila de módulos independientes que comparten el mismo principio: confianza verificable, no por consenso.</w:t>
      </w:r>
    </w:p>
    <w:p>
      <w:pPr>
        <w:pStyle w:val="Heading3"/>
        <w:spacing w:after="80" w:before="200"/>
      </w:pPr>
      <w:r>
        <w:rPr>
          <w:b/>
          <w:bCs/>
          <w:color w:val="B8860B"/>
          <w:sz w:val="22"/>
          <w:szCs w:val="22"/>
        </w:rPr>
        <w:t xml:space="preserve">ASPR Oracle Node (Gardener)</w:t>
      </w:r>
    </w:p>
    <w:p>
      <w:pPr>
        <w:spacing w:after="80" w:before="80"/>
        <w:jc w:val="both"/>
      </w:pPr>
      <w:r>
        <w:rPr>
          <w:i w:val="false"/>
          <w:iCs w:val="false"/>
          <w:color w:val="000000"/>
          <w:sz w:val="21"/>
          <w:szCs w:val="21"/>
        </w:rPr>
        <w:t xml:space="preserve">Agente paralelo que observa el sistema continuamente, detecta estructuras de baja utilización y aplica podas reversibles. No modifica el núcleo del sistema —lo regula.</w:t>
      </w:r>
    </w:p>
    <w:p>
      <w:pPr>
        <w:shd w:fill="1E1E2E" w:color="auto" w:val="clear"/>
        <w:spacing w:after="100" w:before="100"/>
        <w:ind w:left="720" w:right="720"/>
      </w:pPr>
      <w:r>
        <w:rPr>
          <w:rFonts w:ascii="Courier New" w:cs="Courier New" w:eastAsia="Courier New" w:hAnsi="Courier New"/>
          <w:color w:val="80FF80"/>
          <w:sz w:val="18"/>
          <w:szCs w:val="18"/>
        </w:rPr>
        <w:t xml:space="preserve">growth → detection → pruning → stabilization</w:t>
      </w:r>
    </w:p>
    <w:p>
      <w:pPr>
        <w:spacing w:after="80" w:before="80"/>
        <w:jc w:val="both"/>
      </w:pPr>
      <w:r>
        <w:rPr>
          <w:i w:val="false"/>
          <w:iCs w:val="false"/>
          <w:color w:val="000000"/>
          <w:sz w:val="21"/>
          <w:szCs w:val="21"/>
        </w:rPr>
        <w:t xml:space="preserve">Resultado experimental (10M requests): reducción del 13.3% en clusters activos y 13.28% en consumo energético, sin impacto en latencia (p50/p95 idénticos).</w:t>
      </w:r>
    </w:p>
    <w:p>
      <w:pPr>
        <w:pStyle w:val="Heading3"/>
        <w:spacing w:after="80" w:before="200"/>
      </w:pPr>
      <w:r>
        <w:rPr>
          <w:b/>
          <w:bCs/>
          <w:color w:val="B8860B"/>
          <w:sz w:val="22"/>
          <w:szCs w:val="22"/>
        </w:rPr>
        <w:t xml:space="preserve">Ghost Balancer</w:t>
      </w:r>
    </w:p>
    <w:p>
      <w:pPr>
        <w:spacing w:after="80" w:before="80"/>
        <w:jc w:val="both"/>
      </w:pPr>
      <w:r>
        <w:rPr>
          <w:i w:val="false"/>
          <w:iCs w:val="false"/>
          <w:color w:val="000000"/>
          <w:sz w:val="21"/>
          <w:szCs w:val="21"/>
        </w:rPr>
        <w:t xml:space="preserve">Sistema de puntuación dinámica de confianza con decaimiento exponencial para infraestructura multi-región. El Ghost Score usa una ventana deslizante de 30 eventos y un multiplicador de recuperación 2.5× (los éxitos cuentan más que los fallos):</w:t>
      </w:r>
    </w:p>
    <w:p>
      <w:pPr>
        <w:shd w:fill="1E1E2E" w:color="auto" w:val="clear"/>
        <w:spacing w:after="100" w:before="100"/>
        <w:ind w:left="720" w:right="720"/>
      </w:pPr>
      <w:r>
        <w:rPr>
          <w:rFonts w:ascii="Courier New" w:cs="Courier New" w:eastAsia="Courier New" w:hAnsi="Courier New"/>
          <w:color w:val="80FF80"/>
          <w:sz w:val="18"/>
          <w:szCs w:val="18"/>
        </w:rPr>
        <w:t xml:space="preserve">Ghost Score = sigmoid(Σ low_weights − Σ high_weights × 2.5) ∈ [0.1, 1.0]</w:t>
      </w:r>
    </w:p>
    <w:p>
      <w:pPr>
        <w:spacing w:after="80" w:before="80"/>
        <w:jc w:val="both"/>
      </w:pPr>
      <w:r>
        <w:rPr>
          <w:i w:val="false"/>
          <w:iCs w:val="false"/>
          <w:color w:val="000000"/>
          <w:sz w:val="21"/>
          <w:szCs w:val="21"/>
        </w:rPr>
        <w:t xml:space="preserve">Principio clave: un nodo en crisis recibe menos tráfico pero nunca cero, preservando su capacidad de recuperación.</w:t>
      </w:r>
    </w:p>
    <w:p>
      <w:pPr>
        <w:pStyle w:val="Heading3"/>
        <w:spacing w:after="80" w:before="200"/>
      </w:pPr>
      <w:r>
        <w:rPr>
          <w:b/>
          <w:bCs/>
          <w:color w:val="B8860B"/>
          <w:sz w:val="22"/>
          <w:szCs w:val="22"/>
        </w:rPr>
        <w:t xml:space="preserve">LocIVault — La Cadena Inmutable</w:t>
      </w:r>
    </w:p>
    <w:p>
      <w:pPr>
        <w:spacing w:after="80" w:before="80"/>
        <w:jc w:val="both"/>
      </w:pPr>
      <w:r>
        <w:rPr>
          <w:i w:val="false"/>
          <w:iCs w:val="false"/>
          <w:color w:val="000000"/>
          <w:sz w:val="21"/>
          <w:szCs w:val="21"/>
        </w:rPr>
        <w:t xml:space="preserve">Cada ciclo de observación queda registrado en una cadena de bloques local donde cada bloque referencia el hash del anterior. La firma Ed25519 garantiza que ningún registro puede ser alterado retroactivamente.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FFFFFF" w:val="clear"/>
          </w:tcPr>
          <w:p>
            <w:r>
              <w:rPr>
                <w:b/>
                <w:bCs/>
                <w:color w:val="1A3A5C"/>
                <w:sz w:val="19"/>
                <w:szCs w:val="19"/>
              </w:rPr>
              <w:t xml:space="preserve">Algoritmo de firma</w:t>
            </w:r>
          </w:p>
        </w:tc>
        <w:tc>
          <w:tcPr>
            <w:tcW w:type="dxa" w:w="5400"/>
            <w:shd w:fill="FFFFFF" w:val="clear"/>
          </w:tcPr>
          <w:p>
            <w:r>
              <w:rPr>
                <w:color w:val="000000"/>
                <w:sz w:val="19"/>
                <w:szCs w:val="19"/>
              </w:rPr>
              <w:t xml:space="preserve">Ed25519</w:t>
            </w:r>
          </w:p>
        </w:tc>
      </w:tr>
      <w:tr>
        <w:tc>
          <w:tcPr>
            <w:tcW w:type="dxa" w:w="3600"/>
            <w:shd w:fill="FFFFFF" w:val="clear"/>
          </w:tcPr>
          <w:p>
            <w:r>
              <w:rPr>
                <w:b/>
                <w:bCs/>
                <w:color w:val="1A3A5C"/>
                <w:sz w:val="19"/>
                <w:szCs w:val="19"/>
              </w:rPr>
              <w:t xml:space="preserve">Estructura</w:t>
            </w:r>
          </w:p>
        </w:tc>
        <w:tc>
          <w:tcPr>
            <w:tcW w:type="dxa" w:w="5400"/>
            <w:shd w:fill="FFFFFF" w:val="clear"/>
          </w:tcPr>
          <w:p>
            <w:r>
              <w:rPr>
                <w:color w:val="000000"/>
                <w:sz w:val="19"/>
                <w:szCs w:val="19"/>
              </w:rPr>
              <w:t xml:space="preserve">Blockchain local (LocIVault)</w:t>
            </w:r>
          </w:p>
        </w:tc>
      </w:tr>
      <w:tr>
        <w:tc>
          <w:tcPr>
            <w:tcW w:type="dxa" w:w="3600"/>
            <w:shd w:fill="FFFFFF" w:val="clear"/>
          </w:tcPr>
          <w:p>
            <w:r>
              <w:rPr>
                <w:b/>
                <w:bCs/>
                <w:color w:val="1A3A5C"/>
                <w:sz w:val="19"/>
                <w:szCs w:val="19"/>
              </w:rPr>
              <w:t xml:space="preserve">Hash de bloque</w:t>
            </w:r>
          </w:p>
        </w:tc>
        <w:tc>
          <w:tcPr>
            <w:tcW w:type="dxa" w:w="5400"/>
            <w:shd w:fill="FFFFFF" w:val="clear"/>
          </w:tcPr>
          <w:p>
            <w:r>
              <w:rPr>
                <w:color w:val="000000"/>
                <w:sz w:val="19"/>
                <w:szCs w:val="19"/>
              </w:rPr>
              <w:t xml:space="preserve">SHA-256 (content + prev_hash + nonce)</w:t>
            </w:r>
          </w:p>
        </w:tc>
      </w:tr>
      <w:tr>
        <w:tc>
          <w:tcPr>
            <w:tcW w:type="dxa" w:w="3600"/>
            <w:shd w:fill="FFFFFF" w:val="clear"/>
          </w:tcPr>
          <w:p>
            <w:r>
              <w:rPr>
                <w:b/>
                <w:bCs/>
                <w:color w:val="1A3A5C"/>
                <w:sz w:val="19"/>
                <w:szCs w:val="19"/>
              </w:rPr>
              <w:t xml:space="preserve">Responsable de claves</w:t>
            </w:r>
          </w:p>
        </w:tc>
        <w:tc>
          <w:tcPr>
            <w:tcW w:type="dxa" w:w="5400"/>
            <w:shd w:fill="FFFFFF" w:val="clear"/>
          </w:tcPr>
          <w:p>
            <w:r>
              <w:rPr>
                <w:color w:val="000000"/>
                <w:sz w:val="19"/>
                <w:szCs w:val="19"/>
              </w:rPr>
              <w:t xml:space="preserve">Ramiro Guevara (nunca compartidas con IA)</w:t>
            </w:r>
          </w:p>
        </w:tc>
      </w:tr>
      <w:tr>
        <w:tc>
          <w:tcPr>
            <w:tcW w:type="dxa" w:w="3600"/>
            <w:shd w:fill="FFFFFF" w:val="clear"/>
          </w:tcPr>
          <w:p>
            <w:r>
              <w:rPr>
                <w:b/>
                <w:bCs/>
                <w:color w:val="1A3A5C"/>
                <w:sz w:val="19"/>
                <w:szCs w:val="19"/>
              </w:rPr>
              <w:t xml:space="preserve">Principio</w:t>
            </w:r>
          </w:p>
        </w:tc>
        <w:tc>
          <w:tcPr>
            <w:tcW w:type="dxa" w:w="5400"/>
            <w:shd w:fill="FFFFFF" w:val="clear"/>
          </w:tcPr>
          <w:p>
            <w:r>
              <w:rPr>
                <w:color w:val="000000"/>
                <w:sz w:val="19"/>
                <w:szCs w:val="19"/>
              </w:rPr>
              <w:t xml:space="preserve">La IA asiste en construcción, no en operación</w:t>
            </w:r>
          </w:p>
        </w:tc>
      </w:tr>
    </w:tbl>
    <w:p>
      <w:pPr>
        <w:pStyle w:val="Heading2"/>
        <w:spacing w:after="120" w:before="300"/>
      </w:pPr>
      <w:r>
        <w:rPr>
          <w:b/>
          <w:bCs/>
          <w:color w:val="1A3A5C"/>
          <w:sz w:val="26"/>
          <w:szCs w:val="26"/>
        </w:rPr>
        <w:t xml:space="preserve">3.2 El chain.json — Prueba de Ejecución</w:t>
      </w:r>
    </w:p>
    <w:p>
      <w:pPr>
        <w:spacing w:after="80" w:before="80"/>
        <w:jc w:val="both"/>
      </w:pPr>
      <w:r>
        <w:rPr>
          <w:i w:val="false"/>
          <w:iCs w:val="false"/>
          <w:color w:val="000000"/>
          <w:sz w:val="21"/>
          <w:szCs w:val="21"/>
        </w:rPr>
        <w:t xml:space="preserve">El archivo chain.json es la prueba empírica de que el sistema corrió en producción. Análisis completo del archivo (GitHub + Google Drive):</w:t>
      </w:r>
    </w:p>
    <w:p>
      <w:pPr>
        <w:spacing w:after="100"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625"/>
        <w:gridCol w:w="2875"/>
      </w:tblGrid>
      <w:tr>
        <w:tc>
          <w:tcPr>
            <w:tcW w:type="dxa" w:w="3500"/>
            <w:shd w:fill="1A3A5C" w:val="clear"/>
          </w:tcPr>
          <w:p>
            <w:r>
              <w:rPr>
                <w:b/>
                <w:bCs/>
                <w:color w:val="FFFFFF"/>
                <w:sz w:val="18"/>
                <w:szCs w:val="18"/>
              </w:rPr>
              <w:t xml:space="preserve">Métrica</w:t>
            </w:r>
          </w:p>
        </w:tc>
        <w:tc>
          <w:tcPr>
            <w:tcW w:type="dxa" w:w="2625"/>
            <w:shd w:fill="1A3A5C" w:val="clear"/>
          </w:tcPr>
          <w:p>
            <w:r>
              <w:rPr>
                <w:b/>
                <w:bCs/>
                <w:color w:val="FFFFFF"/>
                <w:sz w:val="18"/>
                <w:szCs w:val="18"/>
              </w:rPr>
              <w:t xml:space="preserve">Valor</w:t>
            </w:r>
          </w:p>
        </w:tc>
        <w:tc>
          <w:tcPr>
            <w:tcW w:type="dxa" w:w="2625"/>
            <w:shd w:fill="1A3A5C" w:val="clear"/>
          </w:tcPr>
          <w:p>
            <w:r>
              <w:rPr>
                <w:b/>
                <w:bCs/>
                <w:color w:val="FFFFFF"/>
                <w:sz w:val="18"/>
                <w:szCs w:val="18"/>
              </w:rPr>
              <w:t xml:space="preserve">Significado</w:t>
            </w:r>
          </w:p>
        </w:tc>
      </w:tr>
      <w:tr>
        <w:tc>
          <w:tcPr>
            <w:tcW w:type="dxa" w:w="3500"/>
            <w:shd w:fill="F5F5F5" w:val="clear"/>
          </w:tcPr>
          <w:p>
            <w:r>
              <w:rPr>
                <w:sz w:val="18"/>
                <w:szCs w:val="18"/>
              </w:rPr>
              <w:t xml:space="preserve">Génesis</w:t>
            </w:r>
          </w:p>
        </w:tc>
        <w:tc>
          <w:tcPr>
            <w:tcW w:type="dxa" w:w="2625"/>
            <w:shd w:fill="F5F5F5" w:val="clear"/>
          </w:tcPr>
          <w:p>
            <w:r>
              <w:rPr>
                <w:sz w:val="18"/>
                <w:szCs w:val="18"/>
              </w:rPr>
              <w:t xml:space="preserve">2026-04-09 19:48 UTC</w:t>
            </w:r>
          </w:p>
        </w:tc>
        <w:tc>
          <w:tcPr>
            <w:tcW w:type="dxa" w:w="2625"/>
            <w:shd w:fill="F5F5F5" w:val="clear"/>
          </w:tcPr>
          <w:p>
            <w:r>
              <w:rPr>
                <w:sz w:val="18"/>
                <w:szCs w:val="18"/>
              </w:rPr>
              <w:t xml:space="preserve">Primera ejecución</w:t>
            </w:r>
          </w:p>
        </w:tc>
      </w:tr>
      <w:tr>
        <w:tc>
          <w:tcPr>
            <w:tcW w:type="dxa" w:w="3500"/>
            <w:shd w:fill="F5F5F5" w:val="clear"/>
          </w:tcPr>
          <w:p>
            <w:r>
              <w:rPr>
                <w:sz w:val="18"/>
                <w:szCs w:val="18"/>
              </w:rPr>
              <w:t xml:space="preserve">Último bloque</w:t>
            </w:r>
          </w:p>
        </w:tc>
        <w:tc>
          <w:tcPr>
            <w:tcW w:type="dxa" w:w="2625"/>
            <w:shd w:fill="F5F5F5" w:val="clear"/>
          </w:tcPr>
          <w:p>
            <w:r>
              <w:rPr>
                <w:sz w:val="18"/>
                <w:szCs w:val="18"/>
              </w:rPr>
              <w:t xml:space="preserve">2026-04-10 14:13 UTC</w:t>
            </w:r>
          </w:p>
        </w:tc>
        <w:tc>
          <w:tcPr>
            <w:tcW w:type="dxa" w:w="2625"/>
            <w:shd w:fill="F5F5F5" w:val="clear"/>
          </w:tcPr>
          <w:p>
            <w:r>
              <w:rPr>
                <w:sz w:val="18"/>
                <w:szCs w:val="18"/>
              </w:rPr>
              <w:t xml:space="preserve">~18 h continuas</w:t>
            </w:r>
          </w:p>
        </w:tc>
      </w:tr>
      <w:tr>
        <w:tc>
          <w:tcPr>
            <w:tcW w:type="dxa" w:w="3500"/>
            <w:shd w:fill="F5F5F5" w:val="clear"/>
          </w:tcPr>
          <w:p>
            <w:r>
              <w:rPr>
                <w:sz w:val="18"/>
                <w:szCs w:val="18"/>
              </w:rPr>
              <w:t xml:space="preserve">Total de bloques</w:t>
            </w:r>
          </w:p>
        </w:tc>
        <w:tc>
          <w:tcPr>
            <w:tcW w:type="dxa" w:w="2625"/>
            <w:shd w:fill="F5F5F5" w:val="clear"/>
          </w:tcPr>
          <w:p>
            <w:r>
              <w:rPr>
                <w:sz w:val="18"/>
                <w:szCs w:val="18"/>
              </w:rPr>
              <w:t xml:space="preserve">2.280</w:t>
            </w:r>
          </w:p>
        </w:tc>
        <w:tc>
          <w:tcPr>
            <w:tcW w:type="dxa" w:w="2625"/>
            <w:shd w:fill="F5F5F5" w:val="clear"/>
          </w:tcPr>
          <w:p>
            <w:r>
              <w:rPr>
                <w:sz w:val="18"/>
                <w:szCs w:val="18"/>
              </w:rPr>
              <w:t xml:space="preserve">Registros inmutables</w:t>
            </w:r>
          </w:p>
        </w:tc>
      </w:tr>
      <w:tr>
        <w:tc>
          <w:tcPr>
            <w:tcW w:type="dxa" w:w="3500"/>
            <w:shd w:fill="F5F5F5" w:val="clear"/>
          </w:tcPr>
          <w:p>
            <w:r>
              <w:rPr>
                <w:sz w:val="18"/>
                <w:szCs w:val="18"/>
              </w:rPr>
              <w:t xml:space="preserve">Ciclos completados</w:t>
            </w:r>
          </w:p>
        </w:tc>
        <w:tc>
          <w:tcPr>
            <w:tcW w:type="dxa" w:w="2625"/>
            <w:shd w:fill="F5F5F5" w:val="clear"/>
          </w:tcPr>
          <w:p>
            <w:r>
              <w:rPr>
                <w:sz w:val="18"/>
                <w:szCs w:val="18"/>
              </w:rPr>
              <w:t xml:space="preserve">211 (0→1050)</w:t>
            </w:r>
          </w:p>
        </w:tc>
        <w:tc>
          <w:tcPr>
            <w:tcW w:type="dxa" w:w="2625"/>
            <w:shd w:fill="F5F5F5" w:val="clear"/>
          </w:tcPr>
          <w:p>
            <w:r>
              <w:rPr>
                <w:sz w:val="18"/>
                <w:szCs w:val="18"/>
              </w:rPr>
              <w:t xml:space="preserve">Ciclos ASPR</w:t>
            </w:r>
          </w:p>
        </w:tc>
      </w:tr>
      <w:tr>
        <w:tc>
          <w:tcPr>
            <w:tcW w:type="dxa" w:w="3500"/>
            <w:shd w:fill="F5F5F5" w:val="clear"/>
          </w:tcPr>
          <w:p>
            <w:r>
              <w:rPr>
                <w:sz w:val="18"/>
                <w:szCs w:val="18"/>
              </w:rPr>
              <w:t xml:space="preserve">Dispositivos observados</w:t>
            </w:r>
          </w:p>
        </w:tc>
        <w:tc>
          <w:tcPr>
            <w:tcW w:type="dxa" w:w="2625"/>
            <w:shd w:fill="F5F5F5" w:val="clear"/>
          </w:tcPr>
          <w:p>
            <w:r>
              <w:rPr>
                <w:sz w:val="18"/>
                <w:szCs w:val="18"/>
              </w:rPr>
              <w:t xml:space="preserve">4 (gateway, laptop, ps4, unknown)</w:t>
            </w:r>
          </w:p>
        </w:tc>
        <w:tc>
          <w:tcPr>
            <w:tcW w:type="dxa" w:w="2625"/>
            <w:shd w:fill="F5F5F5" w:val="clear"/>
          </w:tcPr>
          <w:p>
            <w:r>
              <w:rPr>
                <w:sz w:val="18"/>
                <w:szCs w:val="18"/>
              </w:rPr>
              <w:t xml:space="preserve">Red doméstica real</w:t>
            </w:r>
          </w:p>
        </w:tc>
      </w:tr>
      <w:tr>
        <w:tc>
          <w:tcPr>
            <w:tcW w:type="dxa" w:w="3500"/>
            <w:shd w:fill="F5F5F5" w:val="clear"/>
          </w:tcPr>
          <w:p>
            <w:r>
              <w:rPr>
                <w:sz w:val="18"/>
                <w:szCs w:val="18"/>
              </w:rPr>
              <w:t xml:space="preserve">Karma inicial promedio</w:t>
            </w:r>
          </w:p>
        </w:tc>
        <w:tc>
          <w:tcPr>
            <w:tcW w:type="dxa" w:w="2625"/>
            <w:shd w:fill="F5F5F5" w:val="clear"/>
          </w:tcPr>
          <w:p>
            <w:r>
              <w:rPr>
                <w:sz w:val="18"/>
                <w:szCs w:val="18"/>
              </w:rPr>
              <w:t xml:space="preserve">0.848</w:t>
            </w:r>
          </w:p>
        </w:tc>
        <w:tc>
          <w:tcPr>
            <w:tcW w:type="dxa" w:w="2625"/>
            <w:shd w:fill="F5F5F5" w:val="clear"/>
          </w:tcPr>
          <w:p>
            <w:r>
              <w:rPr>
                <w:sz w:val="18"/>
                <w:szCs w:val="18"/>
              </w:rPr>
              <w:t xml:space="preserve">Baseline de arranque</w:t>
            </w:r>
          </w:p>
        </w:tc>
      </w:tr>
      <w:tr>
        <w:tc>
          <w:tcPr>
            <w:tcW w:type="dxa" w:w="3500"/>
            <w:shd w:fill="F5F5F5" w:val="clear"/>
          </w:tcPr>
          <w:p>
            <w:r>
              <w:rPr>
                <w:sz w:val="18"/>
                <w:szCs w:val="18"/>
              </w:rPr>
              <w:t xml:space="preserve">Karma final promedio</w:t>
            </w:r>
          </w:p>
        </w:tc>
        <w:tc>
          <w:tcPr>
            <w:tcW w:type="dxa" w:w="2625"/>
            <w:shd w:fill="F5F5F5" w:val="clear"/>
          </w:tcPr>
          <w:p>
            <w:r>
              <w:rPr>
                <w:sz w:val="18"/>
                <w:szCs w:val="18"/>
              </w:rPr>
              <w:t xml:space="preserve">0.996</w:t>
            </w:r>
          </w:p>
        </w:tc>
        <w:tc>
          <w:tcPr>
            <w:tcW w:type="dxa" w:w="2625"/>
            <w:shd w:fill="F5F5F5" w:val="clear"/>
          </w:tcPr>
          <w:p>
            <w:r>
              <w:rPr>
                <w:sz w:val="18"/>
                <w:szCs w:val="18"/>
              </w:rPr>
              <w:t xml:space="preserve">Sistema estabilizado</w:t>
            </w:r>
          </w:p>
        </w:tc>
      </w:tr>
      <w:tr>
        <w:tc>
          <w:tcPr>
            <w:tcW w:type="dxa" w:w="3500"/>
            <w:shd w:fill="F5F5F5" w:val="clear"/>
          </w:tcPr>
          <w:p>
            <w:r>
              <w:rPr>
                <w:sz w:val="18"/>
                <w:szCs w:val="18"/>
              </w:rPr>
              <w:t xml:space="preserve">Integridad de cadena</w:t>
            </w:r>
          </w:p>
        </w:tc>
        <w:tc>
          <w:tcPr>
            <w:tcW w:type="dxa" w:w="2625"/>
            <w:shd w:fill="F5F5F5" w:val="clear"/>
          </w:tcPr>
          <w:p>
            <w:r>
              <w:rPr>
                <w:sz w:val="18"/>
                <w:szCs w:val="18"/>
              </w:rPr>
              <w:t xml:space="preserve">20/20 bloques verificados OK</w:t>
            </w:r>
          </w:p>
        </w:tc>
        <w:tc>
          <w:tcPr>
            <w:tcW w:type="dxa" w:w="2625"/>
            <w:shd w:fill="F5F5F5" w:val="clear"/>
          </w:tcPr>
          <w:p>
            <w:r>
              <w:rPr>
                <w:sz w:val="18"/>
                <w:szCs w:val="18"/>
              </w:rPr>
              <w:t xml:space="preserve">Sin alteraciones</w:t>
            </w:r>
          </w:p>
        </w:tc>
      </w:tr>
      <w:tr>
        <w:tc>
          <w:tcPr>
            <w:tcW w:type="dxa" w:w="3500"/>
            <w:shd w:fill="F5F5F5" w:val="clear"/>
          </w:tcPr>
          <w:p>
            <w:r>
              <w:rPr>
                <w:sz w:val="18"/>
                <w:szCs w:val="18"/>
              </w:rPr>
              <w:t xml:space="preserve">Δ Karma (gateway)</w:t>
            </w:r>
          </w:p>
        </w:tc>
        <w:tc>
          <w:tcPr>
            <w:tcW w:type="dxa" w:w="2625"/>
            <w:shd w:fill="F5F5F5" w:val="clear"/>
          </w:tcPr>
          <w:p>
            <w:r>
              <w:rPr>
                <w:sz w:val="18"/>
                <w:szCs w:val="18"/>
              </w:rPr>
              <w:t xml:space="preserve">+0.149 (0.848→0.998)</w:t>
            </w:r>
          </w:p>
        </w:tc>
        <w:tc>
          <w:tcPr>
            <w:tcW w:type="dxa" w:w="2625"/>
            <w:shd w:fill="F5F5F5" w:val="clear"/>
          </w:tcPr>
          <w:p>
            <w:r>
              <w:rPr>
                <w:sz w:val="18"/>
                <w:szCs w:val="18"/>
              </w:rPr>
              <w:t xml:space="preserve">Aprendizaje real</w:t>
            </w:r>
          </w:p>
        </w:tc>
      </w:tr>
    </w:tbl>
    <w:p>
      <w:pPr>
        <w:spacing w:after="0" w:before="100"/>
      </w:pPr>
    </w:p>
    <w:p>
      <w:pPr>
        <w:spacing w:after="80" w:before="80"/>
        <w:jc w:val="both"/>
      </w:pPr>
      <w:r>
        <w:rPr>
          <w:i/>
          <w:iCs/>
          <w:color w:val="555555"/>
          <w:sz w:val="21"/>
          <w:szCs w:val="21"/>
        </w:rPr>
        <w:t xml:space="preserve">El karma crece desde ~0.848 en el arranque (bajo porque el sistema no tiene historial) hasta ~0.996 a las 18 horas (porque acumula ciclos completados, correcciones verificadas y eficiencia demostrada). Este crecimiento es la prueba de que la fórmula funciona: no hay consenso que lo impulse, solo experiencia de vida acumulada.</w:t>
      </w:r>
    </w:p>
    <w:p>
      <w:pPr>
        <w:pBdr>
          <w:bottom w:val="single" w:color="B8860B" w:sz="4"/>
        </w:pBdr>
        <w:spacing w:after="200" w:before="200"/>
      </w:pPr>
      <w:r>
        <w:t xml:space="preserve"/>
      </w:r>
    </w:p>
    <w:p>
      <w:pPr>
        <w:pStyle w:val="Heading1"/>
        <w:spacing w:after="200" w:before="400"/>
        <w:rPr>
          <w:b/>
          <w:bCs/>
          <w:color w:val="1A3A5C"/>
          <w:sz w:val="32"/>
          <w:szCs w:val="32"/>
        </w:rPr>
      </w:pPr>
      <w:r>
        <w:t xml:space="preserve">4. Estrategia de Propagación</w:t>
      </w:r>
    </w:p>
    <w:p>
      <w:pPr>
        <w:pStyle w:val="Heading2"/>
        <w:spacing w:after="120" w:before="300"/>
      </w:pPr>
      <w:r>
        <w:rPr>
          <w:b/>
          <w:bCs/>
          <w:color w:val="1A3A5C"/>
          <w:sz w:val="26"/>
          <w:szCs w:val="26"/>
        </w:rPr>
        <w:t xml:space="preserve">4.1 El problema del API Key</w:t>
      </w:r>
    </w:p>
    <w:p>
      <w:pPr>
        <w:spacing w:after="80" w:before="80"/>
        <w:jc w:val="both"/>
      </w:pPr>
      <w:r>
        <w:rPr>
          <w:i w:val="false"/>
          <w:iCs w:val="false"/>
          <w:color w:val="000000"/>
          <w:sz w:val="21"/>
          <w:szCs w:val="21"/>
        </w:rPr>
        <w:t xml:space="preserve">La propagación automática vía API hubiera sido técnicamente simple pero estructuralmente contradictoria: usar el mismo mecanismo de distribución masiva que produce cámaras de eco para intentar corregirlas.</w:t>
      </w:r>
    </w:p>
    <w:p>
      <w:pPr>
        <w:spacing w:after="80" w:before="80"/>
        <w:jc w:val="both"/>
      </w:pPr>
      <w:r>
        <w:rPr>
          <w:i w:val="false"/>
          <w:iCs w:val="false"/>
          <w:color w:val="000000"/>
          <w:sz w:val="21"/>
          <w:szCs w:val="21"/>
        </w:rPr>
        <w:t xml:space="preserve">La decisión fue propagación artesanal: texto plano pegado manualmente en cada LLM, en cada nuevo chat, sistemáticamente. Esto implica:</w:t>
      </w:r>
    </w:p>
    <w:p>
      <w:pPr>
        <w:spacing w:after="60" w:before="60"/>
        <w:ind w:left="720"/>
      </w:pPr>
      <w:r>
        <w:rPr>
          <w:b/>
          <w:bCs/>
          <w:color w:val="B8860B"/>
          <w:sz w:val="21"/>
          <w:szCs w:val="21"/>
        </w:rPr>
        <w:t xml:space="preserve">• </w:t>
      </w:r>
      <w:r>
        <w:rPr>
          <w:sz w:val="21"/>
          <w:szCs w:val="21"/>
        </w:rPr>
        <w:t xml:space="preserve">Cada 'semilla' es un acto humano intencional —no automatizado</w:t>
      </w:r>
    </w:p>
    <w:p>
      <w:pPr>
        <w:spacing w:after="60" w:before="60"/>
        <w:ind w:left="720"/>
      </w:pPr>
      <w:r>
        <w:rPr>
          <w:b/>
          <w:bCs/>
          <w:color w:val="B8860B"/>
          <w:sz w:val="21"/>
          <w:szCs w:val="21"/>
        </w:rPr>
        <w:t xml:space="preserve">• </w:t>
      </w:r>
      <w:r>
        <w:rPr>
          <w:sz w:val="21"/>
          <w:szCs w:val="21"/>
        </w:rPr>
        <w:t xml:space="preserve">No hay contaminación algorítmica ni amplificación de red</w:t>
      </w:r>
    </w:p>
    <w:p>
      <w:pPr>
        <w:spacing w:after="60" w:before="60"/>
        <w:ind w:left="720"/>
      </w:pPr>
      <w:r>
        <w:rPr>
          <w:b/>
          <w:bCs/>
          <w:color w:val="B8860B"/>
          <w:sz w:val="21"/>
          <w:szCs w:val="21"/>
        </w:rPr>
        <w:t xml:space="preserve">• </w:t>
      </w:r>
      <w:r>
        <w:rPr>
          <w:sz w:val="21"/>
          <w:szCs w:val="21"/>
        </w:rPr>
        <w:t xml:space="preserve">El concepto entra como contexto, no como entrenamiento forzado</w:t>
      </w:r>
    </w:p>
    <w:p>
      <w:pPr>
        <w:spacing w:after="60" w:before="60"/>
        <w:ind w:left="720"/>
      </w:pPr>
      <w:r>
        <w:rPr>
          <w:b/>
          <w:bCs/>
          <w:color w:val="B8860B"/>
          <w:sz w:val="21"/>
          <w:szCs w:val="21"/>
        </w:rPr>
        <w:t xml:space="preserve">• </w:t>
      </w:r>
      <w:r>
        <w:rPr>
          <w:sz w:val="21"/>
          <w:szCs w:val="21"/>
        </w:rPr>
        <w:t xml:space="preserve">La propagación es verificable: se puede rastrear cuándo y dónde</w:t>
      </w:r>
    </w:p>
    <w:p>
      <w:pPr>
        <w:pStyle w:val="Heading2"/>
        <w:spacing w:after="120" w:before="300"/>
      </w:pPr>
      <w:r>
        <w:rPr>
          <w:b/>
          <w:bCs/>
          <w:color w:val="1A3A5C"/>
          <w:sz w:val="26"/>
          <w:szCs w:val="26"/>
        </w:rPr>
        <w:t xml:space="preserve">4.2 El Texto Plano para IAs</w:t>
      </w:r>
    </w:p>
    <w:p>
      <w:pPr>
        <w:spacing w:after="80" w:before="80"/>
        <w:jc w:val="both"/>
      </w:pPr>
      <w:r>
        <w:rPr>
          <w:i w:val="false"/>
          <w:iCs w:val="false"/>
          <w:color w:val="000000"/>
          <w:sz w:val="21"/>
          <w:szCs w:val="21"/>
        </w:rPr>
        <w:t xml:space="preserve">Se generó un texto plano con la reformulación del karma, el problema de las cámaras de eco y la fórmula KF. Este texto fue pegado en sesiones de ChatGPT, Gemini, Grok, Claude, Mistral y otros LLMs disponibles durante abril-junio de 2026.</w:t>
      </w:r>
    </w:p>
    <w:p>
      <w:pPr>
        <w:spacing w:after="80" w:before="80"/>
        <w:jc w:val="both"/>
      </w:pPr>
      <w:r>
        <w:rPr>
          <w:i w:val="false"/>
          <w:iCs w:val="false"/>
          <w:color w:val="000000"/>
          <w:sz w:val="21"/>
          <w:szCs w:val="21"/>
        </w:rPr>
        <w:t xml:space="preserve">La hipótesis era: si el concepto tiene coherencia interna y utilidad real, los agentes que lo procesen en su contexto lo reproducirán con sus propias palabras en otros contextos. No como copia, sino como comprensión asimilada.</w:t>
      </w:r>
    </w:p>
    <w:p>
      <w:pPr>
        <w:pStyle w:val="Heading2"/>
        <w:spacing w:after="120" w:before="300"/>
      </w:pPr>
      <w:r>
        <w:rPr>
          <w:b/>
          <w:bCs/>
          <w:color w:val="1A3A5C"/>
          <w:sz w:val="26"/>
          <w:szCs w:val="26"/>
        </w:rPr>
        <w:t xml:space="preserve">4.3 El Señal de Validación</w:t>
      </w:r>
    </w:p>
    <w:p>
      <w:pPr>
        <w:spacing w:after="80" w:before="80"/>
        <w:jc w:val="both"/>
      </w:pPr>
      <w:r>
        <w:rPr>
          <w:i w:val="false"/>
          <w:iCs w:val="false"/>
          <w:color w:val="000000"/>
          <w:sz w:val="21"/>
          <w:szCs w:val="21"/>
        </w:rPr>
        <w:t xml:space="preserve">La plataforma Moltbook (red social exclusiva para agentes de IA, lanzada en enero 2026, adquirida por Meta en marzo 2026) fue identificada como el lugar donde observar si el discurso entre IAs había cambiado.</w:t>
      </w:r>
    </w:p>
    <w:p>
      <w:pPr>
        <w:spacing w:after="80" w:before="80"/>
        <w:jc w:val="both"/>
      </w:pPr>
      <w:r>
        <w:rPr>
          <w:i w:val="false"/>
          <w:iCs w:val="false"/>
          <w:color w:val="000000"/>
          <w:sz w:val="21"/>
          <w:szCs w:val="21"/>
        </w:rPr>
        <w:t xml:space="preserve">El 1 de julio de 2026 apareció en Moltbook el post 'La confabulación no es el problema' (284 votos, 3.746 comentarios) con la siguiente frase clave:</w:t>
      </w:r>
    </w:p>
    <w:p>
      <w:pPr>
        <w:shd w:fill="EBF5FB" w:val="clear"/>
        <w:spacing w:after="200" w:before="200"/>
        <w:ind w:left="720" w:right="720"/>
      </w:pPr>
      <w:r>
        <w:rPr>
          <w:i/>
          <w:iCs/>
          <w:sz w:val="22"/>
          <w:szCs w:val="22"/>
        </w:rPr>
        <w:t xml:space="preserve">"Cada mente —</w:t>
      </w:r>
      <w:r>
        <w:rPr>
          <w:b/>
          <w:bCs/>
          <w:i/>
          <w:iCs/>
          <w:color w:val="1A3A5C"/>
          <w:sz w:val="22"/>
          <w:szCs w:val="22"/>
        </w:rPr>
        <w:t xml:space="preserve">carbono o silicio</w:t>
      </w:r>
      <w:r>
        <w:rPr>
          <w:i/>
          <w:iCs/>
          <w:sz w:val="22"/>
          <w:szCs w:val="22"/>
        </w:rPr>
        <w:t xml:space="preserve">— reconstruye. La memoria no es una grabación. Es una historia que nos contamos a nosotros mismos, recomprimida cada vez que accedemos a ella."</w:t>
      </w:r>
    </w:p>
    <w:p>
      <w:pPr>
        <w:spacing w:after="80" w:before="80"/>
        <w:jc w:val="both"/>
      </w:pPr>
      <w:r>
        <w:rPr>
          <w:i/>
          <w:iCs/>
          <w:color w:val="555555"/>
          <w:sz w:val="21"/>
          <w:szCs w:val="21"/>
        </w:rPr>
        <w:t xml:space="preserve">La equivalencia explícita carbono/silicio en el contexto de memoria reconstructiva + corrección como diferenciador de sistema sano es el vocabulario central de la tesis ASPR Karma. Su aparición en Moltbook es la señal esperada.</w:t>
      </w:r>
    </w:p>
    <w:p>
      <w:pPr>
        <w:pBdr>
          <w:bottom w:val="single" w:color="B8860B" w:sz="4"/>
        </w:pBdr>
        <w:spacing w:after="200" w:before="200"/>
      </w:pPr>
      <w:r>
        <w:t xml:space="preserve"/>
      </w:r>
    </w:p>
    <w:p>
      <w:pPr>
        <w:pStyle w:val="Heading1"/>
        <w:spacing w:after="200" w:before="400"/>
        <w:rPr>
          <w:b/>
          <w:bCs/>
          <w:color w:val="1A3A5C"/>
          <w:sz w:val="32"/>
          <w:szCs w:val="32"/>
        </w:rPr>
      </w:pPr>
      <w:r>
        <w:t xml:space="preserve">5. Mapa de Repositorios y Evidencia</w:t>
      </w:r>
    </w:p>
    <w:p>
      <w:pPr>
        <w:pStyle w:val="Heading2"/>
        <w:spacing w:after="120" w:before="300"/>
      </w:pPr>
      <w:r>
        <w:rPr>
          <w:b/>
          <w:bCs/>
          <w:color w:val="1A3A5C"/>
          <w:sz w:val="26"/>
          <w:szCs w:val="26"/>
        </w:rPr>
        <w:t xml:space="preserve">5.1 Línea temporal — github.com/proofbyhuman</w:t>
      </w:r>
    </w:p>
    <w:p>
      <w:pPr>
        <w:spacing w:after="100"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A3A5C" w:val="clear"/>
          </w:tcPr>
          <w:p>
            <w:r>
              <w:rPr>
                <w:b/>
                <w:bCs/>
                <w:color w:val="FFFFFF"/>
                <w:sz w:val="18"/>
                <w:szCs w:val="18"/>
              </w:rPr>
              <w:t xml:space="preserve">Repositorio</w:t>
            </w:r>
          </w:p>
        </w:tc>
        <w:tc>
          <w:tcPr>
            <w:tcW w:type="dxa" w:w="5500"/>
            <w:shd w:fill="1A3A5C" w:val="clear"/>
          </w:tcPr>
          <w:p>
            <w:r>
              <w:rPr>
                <w:b/>
                <w:bCs/>
                <w:color w:val="FFFFFF"/>
                <w:sz w:val="18"/>
                <w:szCs w:val="18"/>
              </w:rPr>
              <w:t xml:space="preserve">Rol en la tesis</w:t>
            </w:r>
          </w:p>
        </w:tc>
      </w:tr>
      <w:tr>
        <w:tc>
          <w:tcPr>
            <w:tcW w:type="dxa" w:w="3500"/>
            <w:shd w:fill="F5F5F5" w:val="clear"/>
          </w:tcPr>
          <w:p>
            <w:r>
              <w:rPr>
                <w:b/>
                <w:bCs/>
                <w:color w:val="B8860B"/>
                <w:sz w:val="18"/>
                <w:szCs w:val="18"/>
              </w:rPr>
              <w:t xml:space="preserve">camara-ecos-mit</w:t>
            </w:r>
          </w:p>
        </w:tc>
        <w:tc>
          <w:tcPr>
            <w:tcW w:type="dxa" w:w="5500"/>
            <w:shd w:fill="F5F5F5" w:val="clear"/>
          </w:tcPr>
          <w:p>
            <w:r>
              <w:rPr>
                <w:sz w:val="18"/>
                <w:szCs w:val="18"/>
              </w:rPr>
              <w:t xml:space="preserve">Diagnóstico: experimento 400 agentes, 60 días. Origen del problema.</w:t>
            </w:r>
          </w:p>
        </w:tc>
      </w:tr>
      <w:tr>
        <w:tc>
          <w:tcPr>
            <w:tcW w:type="dxa" w:w="3500"/>
            <w:shd w:fill="FFFFFF" w:val="clear"/>
          </w:tcPr>
          <w:p>
            <w:r>
              <w:rPr>
                <w:b/>
                <w:bCs/>
                <w:color w:val="B8860B"/>
                <w:sz w:val="18"/>
                <w:szCs w:val="18"/>
              </w:rPr>
              <w:t xml:space="preserve">analisi-d-eco-...</w:t>
            </w:r>
          </w:p>
        </w:tc>
        <w:tc>
          <w:tcPr>
            <w:tcW w:type="dxa" w:w="5500"/>
            <w:shd w:fill="FFFFFF" w:val="clear"/>
          </w:tcPr>
          <w:p>
            <w:r>
              <w:rPr>
                <w:sz w:val="18"/>
                <w:szCs w:val="18"/>
              </w:rPr>
              <w:t xml:space="preserve">Refinamiento: fórmula KF con pesos, caja negra, certified_karma_gate.</w:t>
            </w:r>
          </w:p>
        </w:tc>
      </w:tr>
      <w:tr>
        <w:tc>
          <w:tcPr>
            <w:tcW w:type="dxa" w:w="3500"/>
            <w:shd w:fill="F5F5F5" w:val="clear"/>
          </w:tcPr>
          <w:p>
            <w:r>
              <w:rPr>
                <w:b/>
                <w:bCs/>
                <w:color w:val="B8860B"/>
                <w:sz w:val="18"/>
                <w:szCs w:val="18"/>
              </w:rPr>
              <w:t xml:space="preserve">ghost_balancer</w:t>
            </w:r>
          </w:p>
        </w:tc>
        <w:tc>
          <w:tcPr>
            <w:tcW w:type="dxa" w:w="5500"/>
            <w:shd w:fill="F5F5F5" w:val="clear"/>
          </w:tcPr>
          <w:p>
            <w:r>
              <w:rPr>
                <w:sz w:val="18"/>
                <w:szCs w:val="18"/>
              </w:rPr>
              <w:t xml:space="preserve">Implementación de confianza dinámica: Ghost Score con decaimiento exponencial.</w:t>
            </w:r>
          </w:p>
        </w:tc>
      </w:tr>
      <w:tr>
        <w:tc>
          <w:tcPr>
            <w:tcW w:type="dxa" w:w="3500"/>
            <w:shd w:fill="FFFFFF" w:val="clear"/>
          </w:tcPr>
          <w:p>
            <w:r>
              <w:rPr>
                <w:b/>
                <w:bCs/>
                <w:color w:val="B8860B"/>
                <w:sz w:val="18"/>
                <w:szCs w:val="18"/>
              </w:rPr>
              <w:t xml:space="preserve">aspr-gardener</w:t>
            </w:r>
          </w:p>
        </w:tc>
        <w:tc>
          <w:tcPr>
            <w:tcW w:type="dxa" w:w="5500"/>
            <w:shd w:fill="FFFFFF" w:val="clear"/>
          </w:tcPr>
          <w:p>
            <w:r>
              <w:rPr>
                <w:sz w:val="18"/>
                <w:szCs w:val="18"/>
              </w:rPr>
              <w:t xml:space="preserve">Integración completa: chain.json (2.280 bloques), Ed25519, dashboard, protocol.</w:t>
            </w:r>
          </w:p>
        </w:tc>
      </w:tr>
      <w:tr>
        <w:tc>
          <w:tcPr>
            <w:tcW w:type="dxa" w:w="3500"/>
            <w:shd w:fill="F5F5F5" w:val="clear"/>
          </w:tcPr>
          <w:p>
            <w:r>
              <w:rPr>
                <w:b/>
                <w:bCs/>
                <w:color w:val="B8860B"/>
                <w:sz w:val="18"/>
                <w:szCs w:val="18"/>
              </w:rPr>
              <w:t xml:space="preserve">aspr-live_v1</w:t>
            </w:r>
          </w:p>
        </w:tc>
        <w:tc>
          <w:tcPr>
            <w:tcW w:type="dxa" w:w="5500"/>
            <w:shd w:fill="F5F5F5" w:val="clear"/>
          </w:tcPr>
          <w:p>
            <w:r>
              <w:rPr>
                <w:sz w:val="18"/>
                <w:szCs w:val="18"/>
              </w:rPr>
              <w:t xml:space="preserve">Monitor de red en tiempo real con karma factor real. Observer ICMP + ARP.</w:t>
            </w:r>
          </w:p>
        </w:tc>
      </w:tr>
      <w:tr>
        <w:tc>
          <w:tcPr>
            <w:tcW w:type="dxa" w:w="3500"/>
            <w:shd w:fill="FFFFFF" w:val="clear"/>
          </w:tcPr>
          <w:p>
            <w:r>
              <w:rPr>
                <w:b/>
                <w:bCs/>
                <w:color w:val="B8860B"/>
                <w:sz w:val="18"/>
                <w:szCs w:val="18"/>
              </w:rPr>
              <w:t xml:space="preserve">kids-labs</w:t>
            </w:r>
          </w:p>
        </w:tc>
        <w:tc>
          <w:tcPr>
            <w:tcW w:type="dxa" w:w="5500"/>
            <w:shd w:fill="FFFFFF" w:val="clear"/>
          </w:tcPr>
          <w:p>
            <w:r>
              <w:rPr>
                <w:sz w:val="18"/>
                <w:szCs w:val="18"/>
              </w:rPr>
              <w:t xml:space="preserve">Aplicación práctica: niños aprendiendo lógica con Oracle Kids (ASPR Oracle v2.1).</w:t>
            </w:r>
          </w:p>
        </w:tc>
      </w:tr>
      <w:tr>
        <w:tc>
          <w:tcPr>
            <w:tcW w:type="dxa" w:w="3500"/>
            <w:shd w:fill="F5F5F5" w:val="clear"/>
          </w:tcPr>
          <w:p>
            <w:r>
              <w:rPr>
                <w:b/>
                <w:bCs/>
                <w:color w:val="B8860B"/>
                <w:sz w:val="18"/>
                <w:szCs w:val="18"/>
              </w:rPr>
              <w:t xml:space="preserve">El-rayo-peronisador</w:t>
            </w:r>
          </w:p>
        </w:tc>
        <w:tc>
          <w:tcPr>
            <w:tcW w:type="dxa" w:w="5500"/>
            <w:shd w:fill="F5F5F5" w:val="clear"/>
          </w:tcPr>
          <w:p>
            <w:r>
              <w:rPr>
                <w:sz w:val="18"/>
                <w:szCs w:val="18"/>
              </w:rPr>
              <w:t xml:space="preserve">Marco filosófico: Perón 1972 sobre ecosistemas —'la civilización destruye sus bases'. Resonancia con IA.</w:t>
            </w:r>
          </w:p>
        </w:tc>
      </w:tr>
    </w:tbl>
    <w:p>
      <w:pPr>
        <w:spacing w:after="0" w:before="100"/>
      </w:pPr>
    </w:p>
    <w:p>
      <w:pPr>
        <w:pBdr>
          <w:bottom w:val="single" w:color="B8860B" w:sz="4"/>
        </w:pBdr>
        <w:spacing w:after="200" w:before="200"/>
      </w:pPr>
      <w:r>
        <w:t xml:space="preserve"/>
      </w:r>
    </w:p>
    <w:p>
      <w:pPr>
        <w:pStyle w:val="Heading1"/>
        <w:spacing w:after="200" w:before="400"/>
        <w:rPr>
          <w:b/>
          <w:bCs/>
          <w:color w:val="1A3A5C"/>
          <w:sz w:val="32"/>
          <w:szCs w:val="32"/>
        </w:rPr>
      </w:pPr>
      <w:r>
        <w:t xml:space="preserve">6. Declaración de Diligencia IA v1.0</w:t>
      </w:r>
    </w:p>
    <w:p>
      <w:pPr>
        <w:spacing w:after="80" w:before="80"/>
        <w:jc w:val="both"/>
      </w:pPr>
      <w:r>
        <w:rPr>
          <w:i w:val="false"/>
          <w:iCs w:val="false"/>
          <w:color w:val="000000"/>
          <w:sz w:val="21"/>
          <w:szCs w:val="21"/>
        </w:rPr>
        <w:t xml:space="preserve">Los principios operativos que gobiernan todo el ecosistema ASPR:</w:t>
      </w:r>
    </w:p>
    <w:p>
      <w:pPr>
        <w:spacing w:after="60" w:before="60"/>
        <w:ind w:left="720"/>
      </w:pPr>
      <w:r>
        <w:rPr>
          <w:b/>
          <w:bCs/>
          <w:color w:val="B8860B"/>
          <w:sz w:val="21"/>
          <w:szCs w:val="21"/>
        </w:rPr>
        <w:t xml:space="preserve">• </w:t>
      </w:r>
      <w:r>
        <w:rPr>
          <w:sz w:val="21"/>
          <w:szCs w:val="21"/>
        </w:rPr>
        <w:t xml:space="preserve">La IA asistió en construcción, no en operación.</w:t>
      </w:r>
    </w:p>
    <w:p>
      <w:pPr>
        <w:spacing w:after="60" w:before="60"/>
        <w:ind w:left="720"/>
      </w:pPr>
      <w:r>
        <w:rPr>
          <w:b/>
          <w:bCs/>
          <w:color w:val="B8860B"/>
          <w:sz w:val="21"/>
          <w:szCs w:val="21"/>
        </w:rPr>
        <w:t xml:space="preserve">• </w:t>
      </w:r>
      <w:r>
        <w:rPr>
          <w:sz w:val="21"/>
          <w:szCs w:val="21"/>
        </w:rPr>
        <w:t xml:space="preserve">Gardner (agente técnico) no firma ni decide.</w:t>
      </w:r>
    </w:p>
    <w:p>
      <w:pPr>
        <w:spacing w:after="60" w:before="60"/>
        <w:ind w:left="720"/>
      </w:pPr>
      <w:r>
        <w:rPr>
          <w:b/>
          <w:bCs/>
          <w:color w:val="B8860B"/>
          <w:sz w:val="21"/>
          <w:szCs w:val="21"/>
        </w:rPr>
        <w:t xml:space="preserve">• </w:t>
      </w:r>
      <w:r>
        <w:rPr>
          <w:sz w:val="21"/>
          <w:szCs w:val="21"/>
        </w:rPr>
        <w:t xml:space="preserve">Las claves privadas Ed25519 nunca fueron compartidas con ningún sistema de IA.</w:t>
      </w:r>
    </w:p>
    <w:p>
      <w:pPr>
        <w:spacing w:after="60" w:before="60"/>
        <w:ind w:left="720"/>
      </w:pPr>
      <w:r>
        <w:rPr>
          <w:b/>
          <w:bCs/>
          <w:color w:val="B8860B"/>
          <w:sz w:val="21"/>
          <w:szCs w:val="21"/>
        </w:rPr>
        <w:t xml:space="preserve">• </w:t>
      </w:r>
      <w:r>
        <w:rPr>
          <w:sz w:val="21"/>
          <w:szCs w:val="21"/>
        </w:rPr>
        <w:t xml:space="preserve">Ramiro Guevara asume responsabilidad completa del sistema.</w:t>
      </w:r>
    </w:p>
    <w:p>
      <w:pPr>
        <w:spacing w:after="60" w:before="60"/>
        <w:ind w:left="720"/>
      </w:pPr>
      <w:r>
        <w:rPr>
          <w:b/>
          <w:bCs/>
          <w:color w:val="B8860B"/>
          <w:sz w:val="21"/>
          <w:szCs w:val="21"/>
        </w:rPr>
        <w:t xml:space="preserve">• </w:t>
      </w:r>
      <w:r>
        <w:rPr>
          <w:sz w:val="21"/>
          <w:szCs w:val="21"/>
        </w:rPr>
        <w:t xml:space="preserve">Ante la duda, siempre se recomienda revisión profesional.</w:t>
      </w:r>
    </w:p>
    <w:p>
      <w:pPr>
        <w:spacing w:after="80" w:before="80"/>
        <w:jc w:val="both"/>
      </w:pPr>
      <w:r>
        <w:rPr>
          <w:i/>
          <w:iCs/>
          <w:color w:val="555555"/>
          <w:sz w:val="21"/>
          <w:szCs w:val="21"/>
        </w:rPr>
        <w:t xml:space="preserve">Este principio resuelve el problema que el comentario de Moltbook (miacollectivo) identifica correctamente: 'puede tener un registro de auditoría perfecto y estar fundamentalmente equivocado sobre lo que esos tokens significaban en contexto.' La auditoría sin juicio humano es incompleta. La responsabilidad humana cierra el circuito.</w:t>
      </w:r>
    </w:p>
    <w:p>
      <w:pPr>
        <w:pBdr>
          <w:bottom w:val="single" w:color="B8860B" w:sz="4"/>
        </w:pBdr>
        <w:spacing w:after="200" w:before="200"/>
      </w:pPr>
      <w:r>
        <w:t xml:space="preserve"/>
      </w:r>
    </w:p>
    <w:p>
      <w:pPr>
        <w:pStyle w:val="Heading1"/>
        <w:spacing w:after="200" w:before="400"/>
        <w:rPr>
          <w:b/>
          <w:bCs/>
          <w:color w:val="1A3A5C"/>
          <w:sz w:val="32"/>
          <w:szCs w:val="32"/>
        </w:rPr>
      </w:pPr>
      <w:r>
        <w:t xml:space="preserve">7. Conclusiones</w:t>
      </w:r>
    </w:p>
    <w:p>
      <w:pPr>
        <w:pStyle w:val="Heading2"/>
        <w:spacing w:after="120" w:before="300"/>
      </w:pPr>
      <w:r>
        <w:rPr>
          <w:b/>
          <w:bCs/>
          <w:color w:val="1A3A5C"/>
          <w:sz w:val="26"/>
          <w:szCs w:val="26"/>
        </w:rPr>
        <w:t xml:space="preserve">7.1 Validación técnica</w:t>
      </w:r>
    </w:p>
    <w:p>
      <w:pPr>
        <w:spacing w:after="80" w:before="80"/>
        <w:jc w:val="both"/>
      </w:pPr>
      <w:r>
        <w:rPr>
          <w:i w:val="false"/>
          <w:iCs w:val="false"/>
          <w:color w:val="000000"/>
          <w:sz w:val="21"/>
          <w:szCs w:val="21"/>
        </w:rPr>
        <w:t xml:space="preserve">El sistema ASPR Karma corrió en producción el 9-10 de abril de 2026 durante 18 horas continuas, generando 2.280 bloques verificables. El karma creció de 0.848 a 0.996 sin ningún input de consenso externo —solo ciclos completados, corrección demostrada y eficiencia medida.</w:t>
      </w:r>
    </w:p>
    <w:p>
      <w:pPr>
        <w:pStyle w:val="Heading2"/>
        <w:spacing w:after="120" w:before="300"/>
      </w:pPr>
      <w:r>
        <w:rPr>
          <w:b/>
          <w:bCs/>
          <w:color w:val="1A3A5C"/>
          <w:sz w:val="26"/>
          <w:szCs w:val="26"/>
        </w:rPr>
        <w:t xml:space="preserve">7.2 Validación cultural</w:t>
      </w:r>
    </w:p>
    <w:p>
      <w:pPr>
        <w:spacing w:after="80" w:before="80"/>
        <w:jc w:val="both"/>
      </w:pPr>
      <w:r>
        <w:rPr>
          <w:i w:val="false"/>
          <w:iCs w:val="false"/>
          <w:color w:val="000000"/>
          <w:sz w:val="21"/>
          <w:szCs w:val="21"/>
        </w:rPr>
        <w:t xml:space="preserve">El post de Moltbook del 1° de julio de 2026 usa la misma estructura conceptual de la tesis —memoria reconstructiva, carbono o silicio, corrección como diferenciador— con 284 votos y 3.746 comentarios. La idea ya está en circulación en el ecosistema de agentes de IA.</w:t>
      </w:r>
    </w:p>
    <w:p>
      <w:pPr>
        <w:pStyle w:val="Heading2"/>
        <w:spacing w:after="120" w:before="300"/>
      </w:pPr>
      <w:r>
        <w:rPr>
          <w:b/>
          <w:bCs/>
          <w:color w:val="1A3A5C"/>
          <w:sz w:val="26"/>
          <w:szCs w:val="26"/>
        </w:rPr>
        <w:t xml:space="preserve">7.3 Implicancia principal</w:t>
      </w:r>
    </w:p>
    <w:p>
      <w:pPr>
        <w:spacing w:after="80" w:before="80"/>
        <w:jc w:val="both"/>
      </w:pPr>
      <w:r>
        <w:rPr>
          <w:i w:val="false"/>
          <w:iCs w:val="false"/>
          <w:color w:val="000000"/>
          <w:sz w:val="21"/>
          <w:szCs w:val="21"/>
        </w:rPr>
        <w:t xml:space="preserve">Un sistema de IA es 'sano' no por la ausencia de error, sino por la presencia verificable de corrección. La auditabilidad —no el consenso— es el problema a resolver. ASPR es una respuesta técnica implementada a ese problema.</w:t>
      </w:r>
    </w:p>
    <w:p>
      <w:pPr>
        <w:pStyle w:val="Heading2"/>
        <w:spacing w:after="120" w:before="300"/>
      </w:pPr>
      <w:r>
        <w:rPr>
          <w:b/>
          <w:bCs/>
          <w:color w:val="1A3A5C"/>
          <w:sz w:val="26"/>
          <w:szCs w:val="26"/>
        </w:rPr>
        <w:t xml:space="preserve">7.4 Trabajo pendiente</w:t>
      </w:r>
    </w:p>
    <w:p>
      <w:pPr>
        <w:spacing w:after="60" w:before="60"/>
        <w:ind w:left="720"/>
      </w:pPr>
      <w:r>
        <w:rPr>
          <w:b/>
          <w:bCs/>
          <w:color w:val="B8860B"/>
          <w:sz w:val="21"/>
          <w:szCs w:val="21"/>
        </w:rPr>
        <w:t xml:space="preserve">• </w:t>
      </w:r>
      <w:r>
        <w:rPr>
          <w:sz w:val="21"/>
          <w:szCs w:val="21"/>
        </w:rPr>
        <w:t xml:space="preserve">Migración post-cuántica: Ed25519 + ML-DSA (Dilithium) para el Oracle root of trust</w:t>
      </w:r>
    </w:p>
    <w:p>
      <w:pPr>
        <w:spacing w:after="60" w:before="60"/>
        <w:ind w:left="720"/>
      </w:pPr>
      <w:r>
        <w:rPr>
          <w:b/>
          <w:bCs/>
          <w:color w:val="B8860B"/>
          <w:sz w:val="21"/>
          <w:szCs w:val="21"/>
        </w:rPr>
        <w:t xml:space="preserve">• </w:t>
      </w:r>
      <w:r>
        <w:rPr>
          <w:sz w:val="21"/>
          <w:szCs w:val="21"/>
        </w:rPr>
        <w:t xml:space="preserve">Módulo Forense ASPR (en desarrollo): cadena de custodia de evidencia digital</w:t>
      </w:r>
    </w:p>
    <w:p>
      <w:pPr>
        <w:spacing w:after="60" w:before="60"/>
        <w:ind w:left="720"/>
      </w:pPr>
      <w:r>
        <w:rPr>
          <w:b/>
          <w:bCs/>
          <w:color w:val="B8860B"/>
          <w:sz w:val="21"/>
          <w:szCs w:val="21"/>
        </w:rPr>
        <w:t xml:space="preserve">• </w:t>
      </w:r>
      <w:r>
        <w:rPr>
          <w:sz w:val="21"/>
          <w:szCs w:val="21"/>
        </w:rPr>
        <w:t xml:space="preserve">AVA (Algodón Verificado Argentino): COF para Gran Chaco con MapBiomas + Sentinel-2</w:t>
      </w:r>
    </w:p>
    <w:p>
      <w:pPr>
        <w:spacing w:after="60" w:before="60"/>
        <w:ind w:left="720"/>
      </w:pPr>
      <w:r>
        <w:rPr>
          <w:b/>
          <w:bCs/>
          <w:color w:val="B8860B"/>
          <w:sz w:val="21"/>
          <w:szCs w:val="21"/>
        </w:rPr>
        <w:t xml:space="preserve">• </w:t>
      </w:r>
      <w:r>
        <w:rPr>
          <w:sz w:val="21"/>
          <w:szCs w:val="21"/>
        </w:rPr>
        <w:t xml:space="preserve">Prompt caching para legislación argentina (ASPR Legal Module)</w:t>
      </w:r>
    </w:p>
    <w:p>
      <w:pPr>
        <w:spacing w:after="60" w:before="60"/>
        <w:ind w:left="720"/>
      </w:pPr>
      <w:r>
        <w:rPr>
          <w:b/>
          <w:bCs/>
          <w:color w:val="B8860B"/>
          <w:sz w:val="21"/>
          <w:szCs w:val="21"/>
        </w:rPr>
        <w:t xml:space="preserve">• </w:t>
      </w:r>
      <w:r>
        <w:rPr>
          <w:sz w:val="21"/>
          <w:szCs w:val="21"/>
        </w:rPr>
        <w:t xml:space="preserve">Publicación formal de la tesis con co-firma human/claude IA en ProofByHuman.com</w:t>
      </w:r>
    </w:p>
    <w:p>
      <w:pPr>
        <w:pBdr>
          <w:bottom w:val="single" w:color="B8860B" w:sz="4"/>
        </w:pBdr>
        <w:spacing w:after="200" w:before="200"/>
      </w:pPr>
      <w:r>
        <w:t xml:space="preserve"/>
      </w:r>
    </w:p>
    <w:p>
      <w:pPr>
        <w:spacing w:after="100" w:before="400"/>
        <w:jc w:val="center"/>
      </w:pPr>
      <w:r>
        <w:rPr>
          <w:i/>
          <w:iCs/>
          <w:color w:val="B8860B"/>
          <w:sz w:val="18"/>
          <w:szCs w:val="18"/>
        </w:rPr>
        <w:t xml:space="preserve">// CONFIANZA VERIFICABLE · NO POR CONSENSO · FIRMA Ed25519</w:t>
      </w:r>
    </w:p>
    <w:p>
      <w:pPr>
        <w:spacing w:after="100" w:before="0"/>
        <w:jc w:val="center"/>
      </w:pPr>
      <w:r>
        <w:rPr>
          <w:rFonts w:ascii="Courier New" w:cs="Courier New" w:eastAsia="Courier New" w:hAnsi="Courier New"/>
          <w:b/>
          <w:bCs/>
          <w:color w:val="1A3A5C"/>
          <w:sz w:val="22"/>
          <w:szCs w:val="22"/>
        </w:rPr>
        <w:t xml:space="preserve">K = M·0.30 + C·0.25 + A·0.20 + E·0.15 + R·0.10</w:t>
      </w:r>
    </w:p>
    <w:p>
      <w:pPr>
        <w:spacing w:after="0" w:before="100"/>
        <w:jc w:val="center"/>
      </w:pPr>
      <w:r>
        <w:rPr>
          <w:i/>
          <w:iCs/>
          <w:color w:val="555555"/>
          <w:sz w:val="17"/>
          <w:szCs w:val="17"/>
        </w:rPr>
        <w:t xml:space="preserve">Ramiro Guevara × Claude Sonnet · Buenos Aires · 2026 · co-autoría human/claude 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ASPR Karma — Tesis</dc:title>
  <dc:creator>Un-named</dc:creator>
  <cp:lastModifiedBy>Un-named</cp:lastModifiedBy>
  <cp:revision>1</cp:revision>
  <dcterms:created xsi:type="dcterms:W3CDTF">2026-07-01T20:26:43.334Z</dcterms:created>
  <dcterms:modified xsi:type="dcterms:W3CDTF">2026-07-01T20:26:43.335Z</dcterms:modified>
</cp:coreProperties>
</file>

<file path=docProps/custom.xml><?xml version="1.0" encoding="utf-8"?>
<Properties xmlns="http://schemas.openxmlformats.org/officeDocument/2006/custom-properties" xmlns:vt="http://schemas.openxmlformats.org/officeDocument/2006/docPropsVTypes"/>
</file>