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40000 Sq Ft Facility</w:t>
      </w:r>
    </w:p>
    <w:p>
      <w:r>
        <w:rPr>
          <w:color w:val="656D76"/>
        </w:rPr>
        <w:t>URL: /40000-sq-ft-facility/</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40,000 Sq. Ft. Facility | Propeller Co-Pack</w:t>
      </w:r>
    </w:p>
    <w:p>
      <w:r>
        <w:rPr>
          <w:rFonts w:ascii="Consolas" w:hAnsi="Consolas"/>
          <w:color w:val="0969DA"/>
          <w:sz w:val="18"/>
        </w:rPr>
        <w:t>[[block:meta:description]]</w:t>
      </w:r>
    </w:p>
    <w:p>
      <w:pPr>
        <w:pStyle w:val="Heading3"/>
      </w:pPr>
      <w:r>
        <w:rPr>
          <w:sz w:val="24"/>
        </w:rPr>
        <w:t>SEO meta description</w:t>
      </w:r>
    </w:p>
    <w:p>
      <w:pPr>
        <w:spacing w:after="240"/>
      </w:pPr>
      <w:r>
        <w:t>Powder manufacturing and co-packing in a 40,000 sq. ft. Utah facility-production, packaging, storage, and logistics under one roof.</w:t>
      </w:r>
    </w:p>
    <w:p>
      <w:r>
        <w:rPr>
          <w:rFonts w:ascii="Consolas" w:hAnsi="Consolas"/>
          <w:color w:val="0969DA"/>
          <w:sz w:val="18"/>
        </w:rPr>
        <w:t>[[block:bloc-7:h1]]</w:t>
      </w:r>
    </w:p>
    <w:p>
      <w:pPr>
        <w:pStyle w:val="Heading3"/>
      </w:pPr>
      <w:r>
        <w:rPr>
          <w:sz w:val="24"/>
        </w:rPr>
        <w:t>Page hero title (H1)</w:t>
      </w:r>
    </w:p>
    <w:p>
      <w:pPr>
        <w:spacing w:after="240"/>
      </w:pPr>
      <w:r>
        <w:t>40,000 Sq. Ft. Facility</w:t>
      </w:r>
    </w:p>
    <w:p>
      <w:r>
        <w:rPr>
          <w:rFonts w:ascii="Consolas" w:hAnsi="Consolas"/>
          <w:color w:val="0969DA"/>
          <w:sz w:val="18"/>
        </w:rPr>
        <w:t>[[block:bloc-7:body]]</w:t>
      </w:r>
    </w:p>
    <w:p>
      <w:pPr>
        <w:pStyle w:val="Heading3"/>
      </w:pPr>
      <w:r>
        <w:rPr>
          <w:sz w:val="24"/>
        </w:rPr>
        <w:t>Page body paragraph</w:t>
      </w:r>
    </w:p>
    <w:p>
      <w:pPr>
        <w:spacing w:after="240"/>
      </w:pPr>
      <w:r>
        <w:t>With 40,000 square feet of operational space, our facility is built to support production, packaging, storage, and logistics under one roof. This footprint gives brands room to grow while keeping key services connected within a coordinated manufacturing environment.</w:t>
      </w:r>
    </w:p>
    <w:p>
      <w:r>
        <w:rPr>
          <w:rFonts w:ascii="Consolas" w:hAnsi="Consolas"/>
          <w:color w:val="0969DA"/>
          <w:sz w:val="18"/>
        </w:rPr>
        <w:t>[[block:bloc-7:img-alt]]</w:t>
      </w:r>
    </w:p>
    <w:p>
      <w:pPr>
        <w:pStyle w:val="Heading3"/>
      </w:pPr>
      <w:r>
        <w:rPr>
          <w:sz w:val="24"/>
        </w:rPr>
        <w:t>Hero image alt text</w:t>
      </w:r>
    </w:p>
    <w:p>
      <w:pPr>
        <w:spacing w:after="240"/>
      </w:pPr>
      <w:r>
        <w:t>40,000 square foot manufacturing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