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Formulation</w:t>
      </w:r>
    </w:p>
    <w:p>
      <w:r>
        <w:rPr>
          <w:color w:val="656D76"/>
        </w:rPr>
        <w:t>URL: /formulation/</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Custom Formulations | Propeller Co-Pack</w:t>
      </w:r>
    </w:p>
    <w:p>
      <w:r>
        <w:rPr>
          <w:rFonts w:ascii="Consolas" w:hAnsi="Consolas"/>
          <w:color w:val="0969DA"/>
          <w:sz w:val="18"/>
        </w:rPr>
        <w:t>[[block:meta:description]]</w:t>
      </w:r>
    </w:p>
    <w:p>
      <w:pPr>
        <w:pStyle w:val="Heading3"/>
      </w:pPr>
      <w:r>
        <w:rPr>
          <w:sz w:val="24"/>
        </w:rPr>
        <w:t>SEO meta description</w:t>
      </w:r>
    </w:p>
    <w:p>
      <w:pPr>
        <w:spacing w:after="240"/>
      </w:pPr>
      <w:r>
        <w:t>Custom formulations for powders and nutritional products—concept through production-ready recipes. Propeller Co-Pack.</w:t>
      </w:r>
    </w:p>
    <w:p>
      <w:r>
        <w:rPr>
          <w:rFonts w:ascii="Consolas" w:hAnsi="Consolas"/>
          <w:color w:val="0969DA"/>
          <w:sz w:val="18"/>
        </w:rPr>
        <w:t>[[block:bloc-7:h1]]</w:t>
      </w:r>
    </w:p>
    <w:p>
      <w:pPr>
        <w:pStyle w:val="Heading3"/>
      </w:pPr>
      <w:r>
        <w:rPr>
          <w:sz w:val="24"/>
        </w:rPr>
        <w:t>Page hero title (H1)</w:t>
      </w:r>
    </w:p>
    <w:p>
      <w:pPr>
        <w:spacing w:after="240"/>
      </w:pPr>
      <w:r>
        <w:t>Product Reformulation</w:t>
      </w:r>
    </w:p>
    <w:p>
      <w:r>
        <w:rPr>
          <w:rFonts w:ascii="Consolas" w:hAnsi="Consolas"/>
          <w:color w:val="0969DA"/>
          <w:sz w:val="18"/>
        </w:rPr>
        <w:t>[[block:bloc-7:body]]</w:t>
      </w:r>
    </w:p>
    <w:p>
      <w:pPr>
        <w:pStyle w:val="Heading3"/>
      </w:pPr>
      <w:r>
        <w:rPr>
          <w:sz w:val="24"/>
        </w:rPr>
        <w:t>Page body paragraph</w:t>
      </w:r>
    </w:p>
    <w:p>
      <w:pPr>
        <w:spacing w:after="240"/>
      </w:pPr>
      <w:r>
        <w:t>We provide product reformulation and formula optimization for brands looking to elevate flavor, solubility, COGS, and overall product performance. Our clean label reformulation, flavor optimization, solubility improvement, and COGS optimization services refine existing formulas with precision, while our packaging redesign and product improvement services strengthen both function and market appeal. Whether you need a cleaner label, better taste, improved mix-ability, or a refreshed package, we deliver solutions.</w:t>
      </w:r>
    </w:p>
    <w:p>
      <w:r>
        <w:rPr>
          <w:rFonts w:ascii="Consolas" w:hAnsi="Consolas"/>
          <w:color w:val="0969DA"/>
          <w:sz w:val="18"/>
        </w:rPr>
        <w:t>[[block:bloc-7:img-alt]]</w:t>
      </w:r>
    </w:p>
    <w:p>
      <w:pPr>
        <w:pStyle w:val="Heading3"/>
      </w:pPr>
      <w:r>
        <w:rPr>
          <w:sz w:val="24"/>
        </w:rPr>
        <w:t>Hero image alt text</w:t>
      </w:r>
    </w:p>
    <w:p>
      <w:pPr>
        <w:spacing w:after="240"/>
      </w:pPr>
      <w:r>
        <w:t>Product reformulation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