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Service page: Loading Docks</w:t>
      </w:r>
    </w:p>
    <w:p>
      <w:r>
        <w:rPr>
          <w:color w:val="656D76"/>
        </w:rPr>
        <w:t>URL: /loading-docks/</w:t>
      </w:r>
    </w:p>
    <w:p/>
    <w:p>
      <w:r>
        <w:rPr>
          <w:i/>
        </w:rPr>
        <w:t>Edit the text under each section. Keep the [[block:...]] lines unchanged. Use Enter for line breaks (they become &lt;br&gt; on the website). After saving, run: python tools/apply_content_docs.py</w:t>
      </w:r>
    </w:p>
    <w:p>
      <w:r>
        <w:rPr>
          <w:i/>
        </w:rPr>
        <w:t>Banner and contact/footer copy live in content/shared/*.docx.</w:t>
      </w:r>
    </w:p>
    <w:p/>
    <w:p>
      <w:r>
        <w:rPr>
          <w:rFonts w:ascii="Consolas" w:hAnsi="Consolas"/>
          <w:color w:val="0969DA"/>
          <w:sz w:val="18"/>
        </w:rPr>
        <w:t>[[block:meta:title]]</w:t>
      </w:r>
    </w:p>
    <w:p>
      <w:pPr>
        <w:pStyle w:val="Heading3"/>
      </w:pPr>
      <w:r>
        <w:rPr>
          <w:sz w:val="24"/>
        </w:rPr>
        <w:t>Browser tab title</w:t>
      </w:r>
    </w:p>
    <w:p>
      <w:pPr>
        <w:spacing w:after="240"/>
      </w:pPr>
      <w:r>
        <w:t>Loading Docks | Propeller Co-Pack</w:t>
      </w:r>
    </w:p>
    <w:p>
      <w:r>
        <w:rPr>
          <w:rFonts w:ascii="Consolas" w:hAnsi="Consolas"/>
          <w:color w:val="0969DA"/>
          <w:sz w:val="18"/>
        </w:rPr>
        <w:t>[[block:meta:description]]</w:t>
      </w:r>
    </w:p>
    <w:p>
      <w:pPr>
        <w:pStyle w:val="Heading3"/>
      </w:pPr>
      <w:r>
        <w:rPr>
          <w:sz w:val="24"/>
        </w:rPr>
        <w:t>SEO meta description</w:t>
      </w:r>
    </w:p>
    <w:p>
      <w:pPr>
        <w:spacing w:after="240"/>
      </w:pPr>
      <w:r>
        <w:t>Receiving and shipping with dock access for materials and finished goods. Utah manufacturing facility.</w:t>
      </w:r>
    </w:p>
    <w:p>
      <w:r>
        <w:rPr>
          <w:rFonts w:ascii="Consolas" w:hAnsi="Consolas"/>
          <w:color w:val="0969DA"/>
          <w:sz w:val="18"/>
        </w:rPr>
        <w:t>[[block:bloc-7:h1]]</w:t>
      </w:r>
    </w:p>
    <w:p>
      <w:pPr>
        <w:pStyle w:val="Heading3"/>
      </w:pPr>
      <w:r>
        <w:rPr>
          <w:sz w:val="24"/>
        </w:rPr>
        <w:t>Page hero title (H1)</w:t>
      </w:r>
    </w:p>
    <w:p>
      <w:pPr>
        <w:spacing w:after="240"/>
      </w:pPr>
      <w:r>
        <w:t>Loading Docks</w:t>
      </w:r>
    </w:p>
    <w:p>
      <w:r>
        <w:rPr>
          <w:rFonts w:ascii="Consolas" w:hAnsi="Consolas"/>
          <w:color w:val="0969DA"/>
          <w:sz w:val="18"/>
        </w:rPr>
        <w:t>[[block:bloc-7:body]]</w:t>
      </w:r>
    </w:p>
    <w:p>
      <w:pPr>
        <w:pStyle w:val="Heading3"/>
      </w:pPr>
      <w:r>
        <w:rPr>
          <w:sz w:val="24"/>
        </w:rPr>
        <w:t>Page body paragraph</w:t>
      </w:r>
    </w:p>
    <w:p>
      <w:pPr>
        <w:spacing w:after="240"/>
      </w:pPr>
      <w:r>
        <w:t>Our Utah facility provides dock access for receiving raw materials and shipping finished goods. Truck-high dock doors, grade-level doors, and yard space support efficient inbound and outbound logistics for co-packing programs.</w:t>
      </w:r>
    </w:p>
    <w:p>
      <w:r>
        <w:rPr>
          <w:rFonts w:ascii="Consolas" w:hAnsi="Consolas"/>
          <w:color w:val="0969DA"/>
          <w:sz w:val="18"/>
        </w:rPr>
        <w:t>[[block:bloc-7:img-alt]]</w:t>
      </w:r>
    </w:p>
    <w:p>
      <w:pPr>
        <w:pStyle w:val="Heading3"/>
      </w:pPr>
      <w:r>
        <w:rPr>
          <w:sz w:val="24"/>
        </w:rPr>
        <w:t>Hero image alt text</w:t>
      </w:r>
    </w:p>
    <w:p>
      <w:pPr>
        <w:spacing w:after="240"/>
      </w:pPr>
      <w:r>
        <w:t>Loading docks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