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Service page: Sachet Packaging</w:t>
      </w:r>
    </w:p>
    <w:p>
      <w:r>
        <w:rPr>
          <w:color w:val="656D76"/>
        </w:rPr>
        <w:t>URL: /sachet-packaging/</w:t>
      </w:r>
    </w:p>
    <w:p/>
    <w:p>
      <w:r>
        <w:rPr>
          <w:i/>
        </w:rPr>
        <w:t>Edit the text under each section. Keep the [[block:...]] lines unchanged. Use Enter for line breaks (they become &lt;br&gt; on the website). After saving, run: python tools/apply_content_docs.py</w:t>
      </w:r>
    </w:p>
    <w:p>
      <w:r>
        <w:rPr>
          <w:i/>
        </w:rPr>
        <w:t>Banner and contact/footer copy live in content/shared/*.docx.</w:t>
      </w:r>
    </w:p>
    <w:p/>
    <w:p>
      <w:r>
        <w:rPr>
          <w:rFonts w:ascii="Consolas" w:hAnsi="Consolas"/>
          <w:color w:val="0969DA"/>
          <w:sz w:val="18"/>
        </w:rPr>
        <w:t>[[block:meta:title]]</w:t>
      </w:r>
    </w:p>
    <w:p>
      <w:pPr>
        <w:pStyle w:val="Heading3"/>
      </w:pPr>
      <w:r>
        <w:rPr>
          <w:sz w:val="24"/>
        </w:rPr>
        <w:t>Browser tab title</w:t>
      </w:r>
    </w:p>
    <w:p>
      <w:pPr>
        <w:spacing w:after="240"/>
      </w:pPr>
      <w:r>
        <w:t>Sachet Packaging | Propeller Co-Pack</w:t>
      </w:r>
    </w:p>
    <w:p>
      <w:r>
        <w:rPr>
          <w:rFonts w:ascii="Consolas" w:hAnsi="Consolas"/>
          <w:color w:val="0969DA"/>
          <w:sz w:val="18"/>
        </w:rPr>
        <w:t>[[block:meta:description]]</w:t>
      </w:r>
    </w:p>
    <w:p>
      <w:pPr>
        <w:pStyle w:val="Heading3"/>
      </w:pPr>
      <w:r>
        <w:rPr>
          <w:sz w:val="24"/>
        </w:rPr>
        <w:t>SEO meta description</w:t>
      </w:r>
    </w:p>
    <w:p>
      <w:pPr>
        <w:spacing w:after="240"/>
      </w:pPr>
      <w:r>
        <w:t>Single-serve sachet filling for powders and supplements. Co-packing with Propeller Co-Pack.</w:t>
      </w:r>
    </w:p>
    <w:p>
      <w:r>
        <w:rPr>
          <w:rFonts w:ascii="Consolas" w:hAnsi="Consolas"/>
          <w:color w:val="0969DA"/>
          <w:sz w:val="18"/>
        </w:rPr>
        <w:t>[[block:bloc-7:h1]]</w:t>
      </w:r>
    </w:p>
    <w:p>
      <w:pPr>
        <w:pStyle w:val="Heading3"/>
      </w:pPr>
      <w:r>
        <w:rPr>
          <w:sz w:val="24"/>
        </w:rPr>
        <w:t>Page hero title (H1)</w:t>
      </w:r>
    </w:p>
    <w:p>
      <w:pPr>
        <w:spacing w:after="240"/>
      </w:pPr>
      <w:r>
        <w:t>Sachets</w:t>
      </w:r>
    </w:p>
    <w:p>
      <w:r>
        <w:rPr>
          <w:rFonts w:ascii="Consolas" w:hAnsi="Consolas"/>
          <w:color w:val="0969DA"/>
          <w:sz w:val="18"/>
        </w:rPr>
        <w:t>[[block:bloc-7:body]]</w:t>
      </w:r>
    </w:p>
    <w:p>
      <w:pPr>
        <w:pStyle w:val="Heading3"/>
      </w:pPr>
      <w:r>
        <w:rPr>
          <w:sz w:val="24"/>
        </w:rPr>
        <w:t>Page body paragraph</w:t>
      </w:r>
    </w:p>
    <w:p>
      <w:pPr>
        <w:spacing w:after="240"/>
      </w:pPr>
      <w:r>
        <w:t>Sachet packaging delivers convenient single-serve portions for powders and supplements. We help you align format, fill weight, and line setup with your brand goals, shelf presence, and production schedule.</w:t>
      </w:r>
    </w:p>
    <w:p>
      <w:r>
        <w:rPr>
          <w:rFonts w:ascii="Consolas" w:hAnsi="Consolas"/>
          <w:color w:val="0969DA"/>
          <w:sz w:val="18"/>
        </w:rPr>
        <w:t>[[block:bloc-7:img-alt]]</w:t>
      </w:r>
    </w:p>
    <w:p>
      <w:pPr>
        <w:pStyle w:val="Heading3"/>
      </w:pPr>
      <w:r>
        <w:rPr>
          <w:sz w:val="24"/>
        </w:rPr>
        <w:t>Hero image alt text</w:t>
      </w:r>
    </w:p>
    <w:p>
      <w:pPr>
        <w:spacing w:after="240"/>
      </w:pPr>
      <w:r>
        <w:t>Sachets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