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Service page: Stand Up Pouches</w:t>
      </w:r>
    </w:p>
    <w:p>
      <w:r>
        <w:rPr>
          <w:color w:val="656D76"/>
        </w:rPr>
        <w:t>URL: /stand-up-pouches/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>
      <w:r>
        <w:rPr>
          <w:i/>
        </w:rPr>
        <w:t>Banner and contact/footer copy live in content/shared/*.docx.</w:t>
      </w:r>
    </w:p>
    <w:p/>
    <w:p>
      <w:r>
        <w:rPr>
          <w:rFonts w:ascii="Consolas" w:hAnsi="Consolas"/>
          <w:color w:val="0969DA"/>
          <w:sz w:val="18"/>
        </w:rPr>
        <w:t>[[block:meta:title]]</w:t>
      </w:r>
    </w:p>
    <w:p>
      <w:pPr>
        <w:pStyle w:val="Heading3"/>
      </w:pPr>
      <w:r>
        <w:rPr>
          <w:sz w:val="24"/>
        </w:rPr>
        <w:t>Browser tab title</w:t>
      </w:r>
    </w:p>
    <w:p>
      <w:pPr>
        <w:spacing w:after="240"/>
      </w:pPr>
      <w:r>
        <w:t>Stand Up Pouches | Propeller Co-Pack</w:t>
      </w:r>
    </w:p>
    <w:p>
      <w:r>
        <w:rPr>
          <w:rFonts w:ascii="Consolas" w:hAnsi="Consolas"/>
          <w:color w:val="0969DA"/>
          <w:sz w:val="18"/>
        </w:rPr>
        <w:t>[[block:meta:description]]</w:t>
      </w:r>
    </w:p>
    <w:p>
      <w:pPr>
        <w:pStyle w:val="Heading3"/>
      </w:pPr>
      <w:r>
        <w:rPr>
          <w:sz w:val="24"/>
        </w:rPr>
        <w:t>SEO meta description</w:t>
      </w:r>
    </w:p>
    <w:p>
      <w:pPr>
        <w:spacing w:after="240"/>
      </w:pPr>
      <w:r>
        <w:t>Stand-up pouch filling and co-packing for retail-ready products. Propeller Co-Pack Utah.</w:t>
      </w:r>
    </w:p>
    <w:p>
      <w:r>
        <w:rPr>
          <w:rFonts w:ascii="Consolas" w:hAnsi="Consolas"/>
          <w:color w:val="0969DA"/>
          <w:sz w:val="18"/>
        </w:rPr>
        <w:t>[[block:bloc-7:h1]]</w:t>
      </w:r>
    </w:p>
    <w:p>
      <w:pPr>
        <w:pStyle w:val="Heading3"/>
      </w:pPr>
      <w:r>
        <w:rPr>
          <w:sz w:val="24"/>
        </w:rPr>
        <w:t>Page hero title (H1)</w:t>
      </w:r>
    </w:p>
    <w:p>
      <w:pPr>
        <w:spacing w:after="240"/>
      </w:pPr>
      <w:r>
        <w:t>Stand Up Pouches</w:t>
      </w:r>
    </w:p>
    <w:p>
      <w:r>
        <w:rPr>
          <w:rFonts w:ascii="Consolas" w:hAnsi="Consolas"/>
          <w:color w:val="0969DA"/>
          <w:sz w:val="18"/>
        </w:rPr>
        <w:t>[[block:bloc-7:body]]</w:t>
      </w:r>
    </w:p>
    <w:p>
      <w:pPr>
        <w:pStyle w:val="Heading3"/>
      </w:pPr>
      <w:r>
        <w:rPr>
          <w:sz w:val="24"/>
        </w:rPr>
        <w:t>Page body paragraph</w:t>
      </w:r>
    </w:p>
    <w:p>
      <w:pPr>
        <w:spacing w:after="240"/>
      </w:pPr>
      <w:r>
        <w:t>Stand up pouches give brands retail-ready packaging with strong shelf presence. We help align pouch style, fill volumes, and production steps so your product moves smoothly from concept through co-packing.</w:t>
      </w:r>
    </w:p>
    <w:p>
      <w:r>
        <w:rPr>
          <w:rFonts w:ascii="Consolas" w:hAnsi="Consolas"/>
          <w:color w:val="0969DA"/>
          <w:sz w:val="18"/>
        </w:rPr>
        <w:t>[[block:bloc-7:img-alt]]</w:t>
      </w:r>
    </w:p>
    <w:p>
      <w:pPr>
        <w:pStyle w:val="Heading3"/>
      </w:pPr>
      <w:r>
        <w:rPr>
          <w:sz w:val="24"/>
        </w:rPr>
        <w:t>Hero image alt text</w:t>
      </w:r>
    </w:p>
    <w:p>
      <w:pPr>
        <w:spacing w:after="240"/>
      </w:pPr>
      <w:r>
        <w:t>Stand up pouches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