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00AE98"/>
          <w:sz w:val="48"/>
          <w:szCs w:val="48"/>
        </w:rPr>
        <w:t xml:space="preserve">BLOCKDATA.RUN</w:t>
      </w:r>
    </w:p>
    <w:p>
      <w:pPr>
        <w:spacing w:after="100"/>
        <w:jc w:val="center"/>
      </w:pPr>
      <w:r>
        <w:rPr>
          <w:rFonts w:ascii="Arial" w:cs="Arial" w:eastAsia="Arial" w:hAnsi="Arial"/>
          <w:b/>
          <w:bCs/>
          <w:color w:val="1E2128"/>
          <w:sz w:val="40"/>
          <w:szCs w:val="40"/>
        </w:rPr>
        <w:t xml:space="preserve">Integration Map</w:t>
      </w:r>
    </w:p>
    <w:p>
      <w:pPr>
        <w:spacing w:after="60"/>
      </w:pPr>
    </w:p>
    <w:p>
      <w:pPr>
        <w:spacing w:after="80"/>
        <w:jc w:val="center"/>
      </w:pPr>
      <w:r>
        <w:rPr>
          <w:rFonts w:ascii="Arial" w:cs="Arial" w:eastAsia="Arial" w:hAnsi="Arial"/>
          <w:color w:val="6B7280"/>
          <w:sz w:val="24"/>
          <w:szCs w:val="24"/>
        </w:rPr>
        <w:t xml:space="preserve">150+ Platforms Across the Document Intelligence Ecosystem</w:t>
      </w:r>
    </w:p>
    <w:p>
      <w:pPr>
        <w:spacing w:after="60"/>
      </w:pPr>
    </w:p>
    <w:p>
      <w:pPr>
        <w:spacing w:after="60"/>
      </w:pPr>
    </w:p>
    <w:p>
      <w:pPr>
        <w:spacing w:after="60"/>
      </w:pPr>
    </w:p>
    <w:p>
      <w:pPr>
        <w:spacing w:after="60"/>
        <w:jc w:val="center"/>
      </w:pPr>
      <w:r>
        <w:rPr>
          <w:rFonts w:ascii="Arial" w:cs="Arial" w:eastAsia="Arial" w:hAnsi="Arial"/>
          <w:color w:val="6B7280"/>
          <w:sz w:val="20"/>
          <w:szCs w:val="20"/>
        </w:rPr>
        <w:t xml:space="preserve">Source Integrations  |  Destination Integrations  |  Industry Verticals</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6B7280"/>
          <w:sz w:val="18"/>
          <w:szCs w:val="18"/>
        </w:rPr>
        <w:t xml:space="preserve">Research Document  |  February 2026  |  DRAFT</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E2128"/>
          <w:sz w:val="32"/>
          <w:szCs w:val="32"/>
        </w:rPr>
        <w:t xml:space="preserve">Executive Summary</w:t>
      </w:r>
    </w:p>
    <w:p>
      <w:pPr>
        <w:spacing w:after="120"/>
      </w:pPr>
      <w:r>
        <w:rPr>
          <w:rFonts w:ascii="Arial" w:cs="Arial" w:eastAsia="Arial" w:hAnsi="Arial"/>
          <w:sz w:val="20"/>
          <w:szCs w:val="20"/>
        </w:rPr>
        <w:t xml:space="preserve">BlockData is a document intelligence platform that decomposes documents into ordered, typed blocks and applies user-defined extraction schemas via AI to produce structured, provenance-tagged outputs. Its canonical export formats (JSONL, CSV, Parquet) position it at a rare intersection: outputs are natively consumable by the fastest-growing categories in modern data infrastructure.</w:t>
      </w:r>
    </w:p>
    <w:p>
      <w:pPr>
        <w:spacing w:after="120"/>
      </w:pPr>
      <w:r>
        <w:rPr>
          <w:rFonts w:ascii="Arial" w:cs="Arial" w:eastAsia="Arial" w:hAnsi="Arial"/>
          <w:sz w:val="20"/>
          <w:szCs w:val="20"/>
        </w:rPr>
        <w:t xml:space="preserve">This document catalogs 150+ platform integrations organized by direction (source vs. destination), industry vertical, and functional category. The research identifies 60+ source integrations (platforms that feed documents into BlockData) and 90+ destination integrations (platforms that consume BlockData's structured output).</w:t>
      </w:r>
    </w:p>
    <w:p>
      <w:pPr>
        <w:spacing w:after="60"/>
      </w:pPr>
    </w:p>
    <w:p>
      <w:pPr>
        <w:spacing w:after="120"/>
      </w:pPr>
      <w:r>
        <w:rPr>
          <w:rFonts w:ascii="Arial" w:cs="Arial" w:eastAsia="Arial" w:hAnsi="Arial"/>
          <w:b/>
          <w:bCs/>
          <w:sz w:val="20"/>
          <w:szCs w:val="20"/>
        </w:rPr>
        <w:t xml:space="preserve">Key finding: </w:t>
      </w:r>
      <w:r>
        <w:rPr>
          <w:rFonts w:ascii="Arial" w:cs="Arial" w:eastAsia="Arial" w:hAnsi="Arial"/>
          <w:sz w:val="20"/>
          <w:szCs w:val="20"/>
        </w:rPr>
        <w:t xml:space="preserve">BlockData's output format choices create near-zero-friction integration with the most important platform categories. JSONL is identical to NDJSON (Elasticsearch bulk format), required by OpenAI's fine-tuning API, and the preferred format for Hugging Face datasets and LangChain/LlamaIndex loaders. Parquet is universal across all cloud warehouses. CSV is the fallback that reaches every CRM, PM tool, and spreadsheet.</w:t>
      </w:r>
    </w:p>
    <w:p>
      <w:pPr>
        <w:pStyle w:val="Heading1"/>
        <w:spacing w:before="400" w:after="200"/>
      </w:pPr>
      <w:r>
        <w:rPr>
          <w:rFonts w:ascii="Arial" w:cs="Arial" w:eastAsia="Arial" w:hAnsi="Arial"/>
          <w:b/>
          <w:bCs/>
          <w:color w:val="1E2128"/>
          <w:sz w:val="32"/>
          <w:szCs w:val="32"/>
        </w:rPr>
        <w:t xml:space="preserve">Part 1: Source Integrations</w:t>
      </w:r>
    </w:p>
    <w:p>
      <w:pPr>
        <w:spacing w:after="120"/>
      </w:pPr>
      <w:r>
        <w:rPr>
          <w:rFonts w:ascii="Arial" w:cs="Arial" w:eastAsia="Arial" w:hAnsi="Arial"/>
          <w:i/>
          <w:iCs/>
          <w:color w:val="6B7280"/>
          <w:sz w:val="20"/>
          <w:szCs w:val="20"/>
        </w:rPr>
        <w:t xml:space="preserve">Source = 3rd Party → BlockData. These integrations feed documents into BlockData for paragraph-level decomposition and AI extraction.</w:t>
      </w:r>
    </w:p>
    <w:p>
      <w:pPr>
        <w:pStyle w:val="Heading2"/>
        <w:spacing w:before="300" w:after="150"/>
      </w:pPr>
      <w:r>
        <w:rPr>
          <w:rFonts w:ascii="Arial" w:cs="Arial" w:eastAsia="Arial" w:hAnsi="Arial"/>
          <w:b/>
          <w:bCs/>
          <w:color w:val="1E2128"/>
          <w:sz w:val="26"/>
          <w:szCs w:val="26"/>
        </w:rPr>
        <w:t xml:space="preserve">1.1 Cloud Storage &amp; File Sharing</w:t>
      </w:r>
    </w:p>
    <w:p>
      <w:pPr>
        <w:spacing w:after="120"/>
      </w:pPr>
      <w:r>
        <w:rPr>
          <w:rFonts w:ascii="Arial" w:cs="Arial" w:eastAsia="Arial" w:hAnsi="Arial"/>
          <w:sz w:val="20"/>
          <w:szCs w:val="20"/>
        </w:rPr>
        <w:t xml:space="preserve">Every organization stores documents somewhere. The S3-compatible API pattern means a single connector implementation reaches five or more storage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Platform</w:t>
            </w:r>
          </w:p>
        </w:tc>
        <w:tc>
          <w:tcPr>
            <w:tcW w:type="dxa" w:w="25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Mechanism</w:t>
            </w:r>
          </w:p>
        </w:tc>
        <w:tc>
          <w:tcPr>
            <w:tcW w:type="dxa" w:w="48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AWS S3</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REST API, SDKs, S3 Events</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De facto standard; event-driven triggers enable automated ingestion</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Google Cloud Storage</w:t>
            </w:r>
          </w:p>
        </w:tc>
        <w:tc>
          <w:tcPr>
            <w:tcW w:type="dxa" w:w="2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REST API, client libraries</w:t>
            </w:r>
          </w:p>
        </w:tc>
        <w:tc>
          <w:tcPr>
            <w:tcW w:type="dxa" w:w="48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Seamless pipeline with Google Document AI for pre-OCR</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Azure Blob Storage</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REST API, SDKs, AzCopy</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Pairs natively with Azure AI Document Intelligence</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Google Drive</w:t>
            </w:r>
          </w:p>
        </w:tc>
        <w:tc>
          <w:tcPr>
            <w:tcW w:type="dxa" w:w="2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Drive API v3, OAuth 2.0</w:t>
            </w:r>
          </w:p>
        </w:tc>
        <w:tc>
          <w:tcPr>
            <w:tcW w:type="dxa" w:w="48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Ubiquitous; exports Google-native docs as PDF/DOCX</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OneDrive / SharePoint</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Microsoft Graph API</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Enterprise standard; delta queries for incremental sync</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Dropbox</w:t>
            </w:r>
          </w:p>
        </w:tc>
        <w:tc>
          <w:tcPr>
            <w:tcW w:type="dxa" w:w="2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API v2, cursor-based sync</w:t>
            </w:r>
          </w:p>
        </w:tc>
        <w:tc>
          <w:tcPr>
            <w:tcW w:type="dxa" w:w="48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700M+ users; efficient change detection</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Box</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Box Platform API, REST</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Enterprise governance (retention, legal hold); rich metadata API</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MinIO</w:t>
            </w:r>
          </w:p>
        </w:tc>
        <w:tc>
          <w:tcPr>
            <w:tcW w:type="dxa" w:w="2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S3-compatible API</w:t>
            </w:r>
          </w:p>
        </w:tc>
        <w:tc>
          <w:tcPr>
            <w:tcW w:type="dxa" w:w="48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Air-gapped/sovereign deployments for regulated industries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Backblaze B2 / Wasabi</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S3-compatible APIs</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Cost-optimized; Wasabi charges no egress fees</w:t>
            </w:r>
          </w:p>
        </w:tc>
      </w:tr>
    </w:tbl>
    <w:p>
      <w:pPr>
        <w:pStyle w:val="Heading2"/>
        <w:spacing w:before="300" w:after="150"/>
      </w:pPr>
      <w:r>
        <w:rPr>
          <w:rFonts w:ascii="Arial" w:cs="Arial" w:eastAsia="Arial" w:hAnsi="Arial"/>
          <w:b/>
          <w:bCs/>
          <w:color w:val="1E2128"/>
          <w:sz w:val="26"/>
          <w:szCs w:val="26"/>
        </w:rPr>
        <w:t xml:space="preserve">1.2 Enterprise Document Management</w:t>
      </w:r>
    </w:p>
    <w:p>
      <w:pPr>
        <w:spacing w:after="120"/>
      </w:pPr>
      <w:r>
        <w:rPr>
          <w:rFonts w:ascii="Arial" w:cs="Arial" w:eastAsia="Arial" w:hAnsi="Arial"/>
          <w:sz w:val="20"/>
          <w:szCs w:val="20"/>
        </w:rPr>
        <w:t xml:space="preserve">These platforms hold the most important governed content: contracts, policies, compliance records, quality documents. REST APIs with OAuth 2.0 have become the universal access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Platform</w:t>
            </w:r>
          </w:p>
        </w:tc>
        <w:tc>
          <w:tcPr>
            <w:tcW w:type="dxa" w:w="25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Mechanism</w:t>
            </w:r>
          </w:p>
        </w:tc>
        <w:tc>
          <w:tcPr>
            <w:tcW w:type="dxa" w:w="48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Content Type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DocuWare</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REST Platform Service</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Invoices, contracts, HR records in structured file cabinets</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OpenText / Documentum</w:t>
            </w:r>
          </w:p>
        </w:tc>
        <w:tc>
          <w:tcPr>
            <w:tcW w:type="dxa" w:w="2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Content Server REST API</w:t>
            </w:r>
          </w:p>
        </w:tc>
        <w:tc>
          <w:tcPr>
            <w:tcW w:type="dxa" w:w="48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Enterprise content, SAP archives, email records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M-Files</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REST API, COM API</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Metadata-driven document store (folder-free architecture)</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Laserfiche</w:t>
            </w:r>
          </w:p>
        </w:tc>
        <w:tc>
          <w:tcPr>
            <w:tcW w:type="dxa" w:w="2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REST API v2, OAuth 2.0</w:t>
            </w:r>
          </w:p>
        </w:tc>
        <w:tc>
          <w:tcPr>
            <w:tcW w:type="dxa" w:w="48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Government and legal content, records management</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Alfresco / Nuxeo</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REST API, CMIS 1.1</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Collaborative enterprise content, cloud-native ECM</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iManage</w:t>
            </w:r>
          </w:p>
        </w:tc>
        <w:tc>
          <w:tcPr>
            <w:tcW w:type="dxa" w:w="2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REST APIs</w:t>
            </w:r>
          </w:p>
        </w:tc>
        <w:tc>
          <w:tcPr>
            <w:tcW w:type="dxa" w:w="48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Legal working files; 4,000+ law firm organizations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NetDocuments</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REST APIs, cloud-native</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Law firm document management, cloud-first architecture</w:t>
            </w:r>
          </w:p>
        </w:tc>
      </w:tr>
    </w:tbl>
    <w:p>
      <w:pPr>
        <w:pStyle w:val="Heading2"/>
        <w:spacing w:before="300" w:after="150"/>
      </w:pPr>
      <w:r>
        <w:rPr>
          <w:rFonts w:ascii="Arial" w:cs="Arial" w:eastAsia="Arial" w:hAnsi="Arial"/>
          <w:b/>
          <w:bCs/>
          <w:color w:val="1E2128"/>
          <w:sz w:val="26"/>
          <w:szCs w:val="26"/>
        </w:rPr>
        <w:t xml:space="preserve">1.3 CMS, Collaboration &amp; Communication</w:t>
      </w:r>
    </w:p>
    <w:p>
      <w:pPr>
        <w:pStyle w:val="Heading3"/>
        <w:spacing w:before="200" w:after="100"/>
      </w:pPr>
      <w:r>
        <w:rPr>
          <w:rFonts w:ascii="Arial" w:cs="Arial" w:eastAsia="Arial" w:hAnsi="Arial"/>
          <w:b/>
          <w:bCs/>
          <w:color w:val="1E2128"/>
          <w:sz w:val="22"/>
          <w:szCs w:val="22"/>
        </w:rPr>
        <w:t xml:space="preserve">Content Management Systems</w:t>
      </w:r>
    </w:p>
    <w:p>
      <w:pPr>
        <w:spacing w:after="120"/>
      </w:pPr>
      <w:r>
        <w:rPr>
          <w:rFonts w:ascii="Arial" w:cs="Arial" w:eastAsia="Arial" w:hAnsi="Arial"/>
          <w:sz w:val="20"/>
          <w:szCs w:val="20"/>
        </w:rPr>
        <w:t xml:space="preserve">WordPress (REST API, 40%+ of the web), Drupal (JSON:API), Contentful (Content Delivery/Management APIs), Strapi (auto-generated REST + GraphQL), Sanity (GROQ query language), and Adobe Experience Manager all expose content through documented APIs.</w:t>
      </w:r>
    </w:p>
    <w:p>
      <w:pPr>
        <w:pStyle w:val="Heading3"/>
        <w:spacing w:before="200" w:after="100"/>
      </w:pPr>
      <w:r>
        <w:rPr>
          <w:rFonts w:ascii="Arial" w:cs="Arial" w:eastAsia="Arial" w:hAnsi="Arial"/>
          <w:b/>
          <w:bCs/>
          <w:color w:val="1E2128"/>
          <w:sz w:val="22"/>
          <w:szCs w:val="22"/>
        </w:rPr>
        <w:t xml:space="preserve">Collaboration Platforms</w:t>
      </w:r>
    </w:p>
    <w:p>
      <w:pPr>
        <w:spacing w:after="120"/>
      </w:pPr>
      <w:r>
        <w:rPr>
          <w:rFonts w:ascii="Arial" w:cs="Arial" w:eastAsia="Arial" w:hAnsi="Arial"/>
          <w:sz w:val="20"/>
          <w:szCs w:val="20"/>
        </w:rPr>
        <w:t xml:space="preserve">Confluence (REST API, CQL query language) holds organizational SOPs. Notion (REST API returning structured block trees) contains databases and nested pages. Slack (Web API) and Microsoft Teams (Graph API) archive conversational knowledge. Google Docs (Docs API) provides granular paragraph-level access.</w:t>
      </w:r>
    </w:p>
    <w:p>
      <w:pPr>
        <w:pStyle w:val="Heading3"/>
        <w:spacing w:before="200" w:after="100"/>
      </w:pPr>
      <w:r>
        <w:rPr>
          <w:rFonts w:ascii="Arial" w:cs="Arial" w:eastAsia="Arial" w:hAnsi="Arial"/>
          <w:b/>
          <w:bCs/>
          <w:color w:val="1E2128"/>
          <w:sz w:val="22"/>
          <w:szCs w:val="22"/>
        </w:rPr>
        <w:t xml:space="preserve">Email &amp; Communication Archives</w:t>
      </w:r>
    </w:p>
    <w:p>
      <w:pPr>
        <w:spacing w:after="120"/>
      </w:pPr>
      <w:r>
        <w:rPr>
          <w:rFonts w:ascii="Arial" w:cs="Arial" w:eastAsia="Arial" w:hAnsi="Arial"/>
          <w:sz w:val="20"/>
          <w:szCs w:val="20"/>
        </w:rPr>
        <w:t xml:space="preserve">Gmail API, Microsoft Graph (Outlook), and enterprise archiving platforms like Mimecast and Proofpoint expose communications and attachments. Email threads are naturally paragraphed content ideal for block-level extraction.</w:t>
      </w:r>
    </w:p>
    <w:p>
      <w:pPr>
        <w:pStyle w:val="Heading3"/>
        <w:spacing w:before="200" w:after="100"/>
      </w:pPr>
      <w:r>
        <w:rPr>
          <w:rFonts w:ascii="Arial" w:cs="Arial" w:eastAsia="Arial" w:hAnsi="Arial"/>
          <w:b/>
          <w:bCs/>
          <w:color w:val="1E2128"/>
          <w:sz w:val="22"/>
          <w:szCs w:val="22"/>
        </w:rPr>
        <w:t xml:space="preserve">Web Sources</w:t>
      </w:r>
    </w:p>
    <w:p>
      <w:pPr>
        <w:spacing w:after="120"/>
      </w:pPr>
      <w:r>
        <w:rPr>
          <w:rFonts w:ascii="Arial" w:cs="Arial" w:eastAsia="Arial" w:hAnsi="Arial"/>
          <w:sz w:val="20"/>
          <w:szCs w:val="20"/>
        </w:rPr>
        <w:t xml:space="preserve">Firecrawl (crawl-to-Markdown API for LLM pipelines), Apify (4,000+ pre-built scrapers), Diffbot (AI-structured knowledge graph of 10B+ entities), and Common Crawl (petabytes of open web data on S3) round out cross-industry sources.</w:t>
      </w:r>
    </w:p>
    <w:p>
      <w:pPr>
        <w:pStyle w:val="Heading2"/>
        <w:spacing w:before="300" w:after="150"/>
      </w:pPr>
      <w:r>
        <w:rPr>
          <w:rFonts w:ascii="Arial" w:cs="Arial" w:eastAsia="Arial" w:hAnsi="Arial"/>
          <w:b/>
          <w:bCs/>
          <w:color w:val="1E2128"/>
          <w:sz w:val="26"/>
          <w:szCs w:val="26"/>
        </w:rPr>
        <w:t xml:space="preserve">1.4 Legal Sources (Deepest Vertical Opportunity)</w:t>
      </w:r>
    </w:p>
    <w:p>
      <w:pPr>
        <w:spacing w:after="120"/>
      </w:pPr>
      <w:r>
        <w:rPr>
          <w:rFonts w:ascii="Arial" w:cs="Arial" w:eastAsia="Arial" w:hAnsi="Arial"/>
          <w:sz w:val="20"/>
          <w:szCs w:val="20"/>
        </w:rPr>
        <w:t xml:space="preserve">Legal has the richest combination of massive document volumes, high extraction value, and mature API infrastructure. BlockData already processes 28,000+ legal opinions.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c>
          <w:tcPr>
            <w:tcW w:type="dxa" w:w="1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Platform</w:t>
            </w:r>
          </w:p>
        </w:tc>
        <w:tc>
          <w:tcPr>
            <w:tcW w:type="dxa" w:w="1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Scale</w:t>
            </w:r>
          </w:p>
        </w:tc>
        <w:tc>
          <w:tcPr>
            <w:tcW w:type="dxa" w:w="22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Mechanism</w:t>
            </w:r>
          </w:p>
        </w:tc>
        <w:tc>
          <w:tcPr>
            <w:tcW w:type="dxa" w:w="35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CourtListener / RECAP</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10M+ opinions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Free REST API v4, bulk</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Largest free court document collection; grows daily</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PACER / CM/ECF</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All federal filings</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PACER REST API</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Authoritative federal case filings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Westlaw</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2M+ records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TR Developer Portal</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Industry standard; case law, statutes, commentary</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LexisNexis</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99% of LN content</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REST APIs, Python SDK</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Self-service API portal; bulk APIs for ML pipelines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Caselaw Access Project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All US published law</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Bulk downloads, API</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Complete digitized corpus, free and open (Harvard)</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SEC EDGAR</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20M+ filings</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REST APIs, XBRL</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Free, real-time; section-extraction APIs for 10-K/10-Q</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USPTO</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Patents from 1976+</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Open Data Portal API</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CC-BY 4.0 license; bulk XML and tab-delimited</w:t>
            </w:r>
          </w:p>
        </w:tc>
      </w:tr>
    </w:tbl>
    <w:p>
      <w:pPr>
        <w:spacing w:after="60"/>
      </w:pPr>
    </w:p>
    <w:p>
      <w:pPr>
        <w:spacing w:after="120"/>
      </w:pPr>
      <w:r>
        <w:rPr>
          <w:rFonts w:ascii="Arial" w:cs="Arial" w:eastAsia="Arial" w:hAnsi="Arial"/>
          <w:sz w:val="20"/>
          <w:szCs w:val="20"/>
        </w:rPr>
        <w:t xml:space="preserve">Additional legal sources include eDiscovery platforms (Relativity, Nuix, Everlaw, DISCO), contract management (Ironclad, Icertis, Agiloft, LinkSquares), and regulatory sources (GovInfo.gov, Federal Register, Regulations.gov, EUR-Lex, UK legislation.gov.uk, CanLII).</w:t>
      </w:r>
    </w:p>
    <w:p>
      <w:pPr>
        <w:pStyle w:val="Heading2"/>
        <w:spacing w:before="300" w:after="150"/>
      </w:pPr>
      <w:r>
        <w:rPr>
          <w:rFonts w:ascii="Arial" w:cs="Arial" w:eastAsia="Arial" w:hAnsi="Arial"/>
          <w:b/>
          <w:bCs/>
          <w:color w:val="1E2128"/>
          <w:sz w:val="26"/>
          <w:szCs w:val="26"/>
        </w:rPr>
        <w:t xml:space="preserve">1.5 Healthcare Sources</w:t>
      </w:r>
    </w:p>
    <w:p>
      <w:pPr>
        <w:spacing w:after="120"/>
      </w:pPr>
      <w:r>
        <w:rPr>
          <w:rFonts w:ascii="Arial" w:cs="Arial" w:eastAsia="Arial" w:hAnsi="Arial"/>
          <w:sz w:val="20"/>
          <w:szCs w:val="20"/>
        </w:rPr>
        <w:t xml:space="preserve">Healthcare sources center on FHIR APIs as the universal clinical data standard. Epic (750+ FHIR R4 APIs, ~42% hospital market share) and Oracle Health/Cerner together cover ~65% of US hospitals. Research literature via PubMed/MEDLINE (36M+ citations), PubMed Central (3.4M+ full-text articles via BioC API), and ClinicalTrials.gov (REST API) provide massive document volumes. openFDA offers APIs for drug adverse events, labels, and device recalls.</w:t>
      </w:r>
    </w:p>
    <w:p>
      <w:pPr>
        <w:pStyle w:val="Heading2"/>
        <w:spacing w:before="300" w:after="150"/>
      </w:pPr>
      <w:r>
        <w:rPr>
          <w:rFonts w:ascii="Arial" w:cs="Arial" w:eastAsia="Arial" w:hAnsi="Arial"/>
          <w:b/>
          <w:bCs/>
          <w:color w:val="1E2128"/>
          <w:sz w:val="26"/>
          <w:szCs w:val="26"/>
        </w:rPr>
        <w:t xml:space="preserve">1.6 Academic &amp; Research Sources</w:t>
      </w:r>
    </w:p>
    <w:p>
      <w:pPr>
        <w:spacing w:after="120"/>
      </w:pPr>
      <w:r>
        <w:rPr>
          <w:rFonts w:ascii="Arial" w:cs="Arial" w:eastAsia="Arial" w:hAnsi="Arial"/>
          <w:sz w:val="20"/>
          <w:szCs w:val="20"/>
        </w:rPr>
        <w:t xml:space="preserve">Semantic Scholar (225M+ papers, free API), arXiv (2.4M+ preprints, OAI-PMH + S3 bulk), CrossRef (metadata for 150M+ works), JSTOR (12M+ articles), and institutional repositories via DSpace and EPrints (OAI-PMH harvesting) provide research literature. bioRxiv and medRxiv provide bulk JSONL downloads, a direct format match for BlockData.</w:t>
      </w:r>
    </w:p>
    <w:p>
      <w:pPr>
        <w:pStyle w:val="Heading2"/>
        <w:spacing w:before="300" w:after="150"/>
      </w:pPr>
      <w:r>
        <w:rPr>
          <w:rFonts w:ascii="Arial" w:cs="Arial" w:eastAsia="Arial" w:hAnsi="Arial"/>
          <w:b/>
          <w:bCs/>
          <w:color w:val="1E2128"/>
          <w:sz w:val="26"/>
          <w:szCs w:val="26"/>
        </w:rPr>
        <w:t xml:space="preserve">1.7 Non-Obvious Source Integrations</w:t>
      </w:r>
    </w:p>
    <w:p>
      <w:pPr>
        <w:spacing w:after="120"/>
      </w:pPr>
      <w:r>
        <w:rPr>
          <w:rFonts w:ascii="Arial" w:cs="Arial" w:eastAsia="Arial" w:hAnsi="Arial"/>
          <w:b/>
          <w:bCs/>
          <w:sz w:val="20"/>
          <w:szCs w:val="20"/>
        </w:rPr>
        <w:t xml:space="preserve">Digital mailroom services: </w:t>
      </w:r>
      <w:r>
        <w:rPr>
          <w:rFonts w:ascii="Arial" w:cs="Arial" w:eastAsia="Arial" w:hAnsi="Arial"/>
          <w:sz w:val="20"/>
          <w:szCs w:val="20"/>
        </w:rPr>
        <w:t xml:space="preserve">Earth Class Mail and Stable bridge physical mail to structured data. Scanned postal mail becomes PDFs that BlockData can extract, creating end-to-end paper-to-data pipelines.</w:t>
      </w:r>
    </w:p>
    <w:p>
      <w:pPr>
        <w:spacing w:after="120"/>
      </w:pPr>
      <w:r>
        <w:rPr>
          <w:rFonts w:ascii="Arial" w:cs="Arial" w:eastAsia="Arial" w:hAnsi="Arial"/>
          <w:b/>
          <w:bCs/>
          <w:sz w:val="20"/>
          <w:szCs w:val="20"/>
        </w:rPr>
        <w:t xml:space="preserve">Legislative tracking: </w:t>
      </w:r>
      <w:r>
        <w:rPr>
          <w:rFonts w:ascii="Arial" w:cs="Arial" w:eastAsia="Arial" w:hAnsi="Arial"/>
          <w:sz w:val="20"/>
          <w:szCs w:val="20"/>
        </w:rPr>
        <w:t xml:space="preserve">LegiScan (REST API, push updates, 175,000+ bills per biennium) and BillTrack50 provide dense documents for extracting effective dates, penalties, and fiscal impacts.</w:t>
      </w:r>
    </w:p>
    <w:p>
      <w:pPr>
        <w:spacing w:after="120"/>
      </w:pPr>
      <w:r>
        <w:rPr>
          <w:rFonts w:ascii="Arial" w:cs="Arial" w:eastAsia="Arial" w:hAnsi="Arial"/>
          <w:b/>
          <w:bCs/>
          <w:sz w:val="20"/>
          <w:szCs w:val="20"/>
        </w:rPr>
        <w:t xml:space="preserve">Signature platforms: </w:t>
      </w:r>
      <w:r>
        <w:rPr>
          <w:rFonts w:ascii="Arial" w:cs="Arial" w:eastAsia="Arial" w:hAnsi="Arial"/>
          <w:sz w:val="20"/>
          <w:szCs w:val="20"/>
        </w:rPr>
        <w:t xml:space="preserve">DocuSign, PandaDoc, and Adobe Sign provide executed contracts with dual value: content + signing metadata.</w:t>
      </w:r>
    </w:p>
    <w:p>
      <w:pPr>
        <w:spacing w:after="120"/>
      </w:pPr>
      <w:r>
        <w:rPr>
          <w:rFonts w:ascii="Arial" w:cs="Arial" w:eastAsia="Arial" w:hAnsi="Arial"/>
          <w:b/>
          <w:bCs/>
          <w:sz w:val="20"/>
          <w:szCs w:val="20"/>
        </w:rPr>
        <w:t xml:space="preserve">Translation memory systems: </w:t>
      </w:r>
      <w:r>
        <w:rPr>
          <w:rFonts w:ascii="Arial" w:cs="Arial" w:eastAsia="Arial" w:hAnsi="Arial"/>
          <w:sz w:val="20"/>
          <w:szCs w:val="20"/>
        </w:rPr>
        <w:t xml:space="preserve">SDL Trados, MemoQ, and Smartling contain bilingual segment pairs at paragraph level, a structural match for BlockData.</w:t>
      </w:r>
    </w:p>
    <w:p>
      <w:pPr>
        <w:spacing w:after="120"/>
      </w:pPr>
      <w:r>
        <w:rPr>
          <w:rFonts w:ascii="Arial" w:cs="Arial" w:eastAsia="Arial" w:hAnsi="Arial"/>
          <w:b/>
          <w:bCs/>
          <w:sz w:val="20"/>
          <w:szCs w:val="20"/>
        </w:rPr>
        <w:t xml:space="preserve">Customer support platforms: </w:t>
      </w:r>
      <w:r>
        <w:rPr>
          <w:rFonts w:ascii="Arial" w:cs="Arial" w:eastAsia="Arial" w:hAnsi="Arial"/>
          <w:sz w:val="20"/>
          <w:szCs w:val="20"/>
        </w:rPr>
        <w:t xml:space="preserve">Zendesk, Intercom, and Freshdesk hold naturally paragraphed documents ideal for extracting product issues, feature requests, and error patterns.</w:t>
      </w:r>
    </w:p>
    <w:p>
      <w:pPr>
        <w:spacing w:after="120"/>
      </w:pPr>
      <w:r>
        <w:rPr>
          <w:rFonts w:ascii="Arial" w:cs="Arial" w:eastAsia="Arial" w:hAnsi="Arial"/>
          <w:b/>
          <w:bCs/>
          <w:sz w:val="20"/>
          <w:szCs w:val="20"/>
        </w:rPr>
        <w:t xml:space="preserve">Blockchain document storage: </w:t>
      </w:r>
      <w:r>
        <w:rPr>
          <w:rFonts w:ascii="Arial" w:cs="Arial" w:eastAsia="Arial" w:hAnsi="Arial"/>
          <w:sz w:val="20"/>
          <w:szCs w:val="20"/>
        </w:rPr>
        <w:t xml:space="preserve">IPFS, Arweave, and Filecoin provide content-addressed documents where storage hash cryptographically verifies file integrity, pairing with BlockData's source hash provenance.</w:t>
      </w:r>
    </w:p>
    <w:p>
      <w:pPr>
        <w:pStyle w:val="Heading1"/>
        <w:spacing w:before="400" w:after="200"/>
      </w:pPr>
      <w:r>
        <w:rPr>
          <w:rFonts w:ascii="Arial" w:cs="Arial" w:eastAsia="Arial" w:hAnsi="Arial"/>
          <w:b/>
          <w:bCs/>
          <w:color w:val="1E2128"/>
          <w:sz w:val="32"/>
          <w:szCs w:val="32"/>
        </w:rPr>
        <w:t xml:space="preserve">Part 2: Destination Integrations</w:t>
      </w:r>
    </w:p>
    <w:p>
      <w:pPr>
        <w:spacing w:after="120"/>
      </w:pPr>
      <w:r>
        <w:rPr>
          <w:rFonts w:ascii="Arial" w:cs="Arial" w:eastAsia="Arial" w:hAnsi="Arial"/>
          <w:i/>
          <w:iCs/>
          <w:color w:val="6B7280"/>
          <w:sz w:val="20"/>
          <w:szCs w:val="20"/>
        </w:rPr>
        <w:t xml:space="preserve">Destination = BlockData → 3rd Party. These integrations consume BlockData's structured JSONL/CSV/Parquet output.</w:t>
      </w:r>
    </w:p>
    <w:p>
      <w:pPr>
        <w:pStyle w:val="Heading2"/>
        <w:spacing w:before="300" w:after="150"/>
      </w:pPr>
      <w:r>
        <w:rPr>
          <w:rFonts w:ascii="Arial" w:cs="Arial" w:eastAsia="Arial" w:hAnsi="Arial"/>
          <w:b/>
          <w:bCs/>
          <w:color w:val="1E2128"/>
          <w:sz w:val="26"/>
          <w:szCs w:val="26"/>
        </w:rPr>
        <w:t xml:space="preserve">2.1 Data Warehouses &amp; Analytical Engines</w:t>
      </w:r>
    </w:p>
    <w:p>
      <w:pPr>
        <w:spacing w:after="120"/>
      </w:pPr>
      <w:r>
        <w:rPr>
          <w:rFonts w:ascii="Arial" w:cs="Arial" w:eastAsia="Arial" w:hAnsi="Arial"/>
          <w:sz w:val="20"/>
          <w:szCs w:val="20"/>
        </w:rPr>
        <w:t xml:space="preserve">BlockData's output format trifecta aligns with native ingestion formats of every major analytical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Platform</w:t>
            </w:r>
          </w:p>
        </w:tc>
        <w:tc>
          <w:tcPr>
            <w:tcW w:type="dxa" w:w="20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Formats</w:t>
            </w:r>
          </w:p>
        </w:tc>
        <w:tc>
          <w:tcPr>
            <w:tcW w:type="dxa" w:w="22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Mechanism</w:t>
            </w:r>
          </w:p>
        </w:tc>
        <w:tc>
          <w:tcPr>
            <w:tcW w:type="dxa" w:w="35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Snowflake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JSON, CSV, Parquet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COPY INTO, Snowpipe</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Schema auto-detection; VARIANT type preserves JSONL hierarchies</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Databricks / Delta Lake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JSON, CSV, Parquet</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Auto Loader, COPY INTO</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Delta versioning aligns with immutable metadata; MLflow integration</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Google BigQuery</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JSONL first-class, CSV, Parquet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bq load, Storage Write API</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JSON column preserves full overlay structure; serverless</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Amazon Redshift</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JSON, CSV, Parquet</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COPY from S3, Spectrum</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Spectrum queries Parquet in S3 directly, zero ETL</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DuckDB</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JSONL, CSV, Parquet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read_json_auto(), read_parquet()</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Exceptional fit: instant SQL on output files, no server needed</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ClickHouse / StarRocks</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CSV, JSON, Parquet</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s3() table function</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Sub-second queries for real-time document analytics</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Apache Iceberg / Hudi</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Parquet (underlying)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Schema evolution, time travel</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Vendor-neutral open table format avoids warehouse lock-in</w:t>
            </w:r>
          </w:p>
        </w:tc>
      </w:tr>
    </w:tbl>
    <w:p>
      <w:pPr>
        <w:pStyle w:val="Heading2"/>
        <w:spacing w:before="300" w:after="150"/>
      </w:pPr>
      <w:r>
        <w:rPr>
          <w:rFonts w:ascii="Arial" w:cs="Arial" w:eastAsia="Arial" w:hAnsi="Arial"/>
          <w:b/>
          <w:bCs/>
          <w:color w:val="1E2128"/>
          <w:sz w:val="26"/>
          <w:szCs w:val="26"/>
        </w:rPr>
        <w:t xml:space="preserve">2.2 Vector Databases (RAG &amp; Semantic Search)</w:t>
      </w:r>
    </w:p>
    <w:p>
      <w:pPr>
        <w:spacing w:after="120"/>
      </w:pPr>
      <w:r>
        <w:rPr>
          <w:rFonts w:ascii="Arial" w:cs="Arial" w:eastAsia="Arial" w:hAnsi="Arial"/>
          <w:sz w:val="20"/>
          <w:szCs w:val="20"/>
        </w:rPr>
        <w:t xml:space="preserve">Every major vector database can consume BlockData's output after embedding text fields. Block metadata carries provenance, block identity, and schema-conformant fields for filtered retrieval.</w:t>
      </w:r>
    </w:p>
    <w:p>
      <w:pPr>
        <w:spacing w:after="120"/>
      </w:pPr>
      <w:r>
        <w:rPr>
          <w:rFonts w:ascii="Arial" w:cs="Arial" w:eastAsia="Arial" w:hAnsi="Arial"/>
          <w:b/>
          <w:bCs/>
          <w:sz w:val="20"/>
          <w:szCs w:val="20"/>
        </w:rPr>
        <w:t xml:space="preserve">Pinecone: </w:t>
      </w:r>
      <w:r>
        <w:rPr>
          <w:rFonts w:ascii="Arial" w:cs="Arial" w:eastAsia="Arial" w:hAnsi="Arial"/>
          <w:sz w:val="20"/>
          <w:szCs w:val="20"/>
        </w:rPr>
        <w:t xml:space="preserve">REST API, batch upsert with JSON metadata payloads.</w:t>
      </w:r>
    </w:p>
    <w:p>
      <w:pPr>
        <w:spacing w:after="120"/>
      </w:pPr>
      <w:r>
        <w:rPr>
          <w:rFonts w:ascii="Arial" w:cs="Arial" w:eastAsia="Arial" w:hAnsi="Arial"/>
          <w:b/>
          <w:bCs/>
          <w:sz w:val="20"/>
          <w:szCs w:val="20"/>
        </w:rPr>
        <w:t xml:space="preserve">Weaviate: </w:t>
      </w:r>
      <w:r>
        <w:rPr>
          <w:rFonts w:ascii="Arial" w:cs="Arial" w:eastAsia="Arial" w:hAnsi="Arial"/>
          <w:sz w:val="20"/>
          <w:szCs w:val="20"/>
        </w:rPr>
        <w:t xml:space="preserve">REST + GraphQL APIs, built-in vectorization modules, hybrid BM25+vector search.</w:t>
      </w:r>
    </w:p>
    <w:p>
      <w:pPr>
        <w:spacing w:after="120"/>
      </w:pPr>
      <w:r>
        <w:rPr>
          <w:rFonts w:ascii="Arial" w:cs="Arial" w:eastAsia="Arial" w:hAnsi="Arial"/>
          <w:b/>
          <w:bCs/>
          <w:sz w:val="20"/>
          <w:szCs w:val="20"/>
        </w:rPr>
        <w:t xml:space="preserve">Qdrant: </w:t>
      </w:r>
      <w:r>
        <w:rPr>
          <w:rFonts w:ascii="Arial" w:cs="Arial" w:eastAsia="Arial" w:hAnsi="Arial"/>
          <w:sz w:val="20"/>
          <w:szCs w:val="20"/>
        </w:rPr>
        <w:t xml:space="preserve">REST + gRPC APIs, rich payload filtering on JSON fields.</w:t>
      </w:r>
    </w:p>
    <w:p>
      <w:pPr>
        <w:spacing w:after="120"/>
      </w:pPr>
      <w:r>
        <w:rPr>
          <w:rFonts w:ascii="Arial" w:cs="Arial" w:eastAsia="Arial" w:hAnsi="Arial"/>
          <w:b/>
          <w:bCs/>
          <w:sz w:val="20"/>
          <w:szCs w:val="20"/>
        </w:rPr>
        <w:t xml:space="preserve">Milvus/Zilliz: </w:t>
      </w:r>
      <w:r>
        <w:rPr>
          <w:rFonts w:ascii="Arial" w:cs="Arial" w:eastAsia="Arial" w:hAnsi="Arial"/>
          <w:sz w:val="20"/>
          <w:szCs w:val="20"/>
        </w:rPr>
        <w:t xml:space="preserve">Bulk insert from Parquet files — direct format match.</w:t>
      </w:r>
    </w:p>
    <w:p>
      <w:pPr>
        <w:spacing w:after="120"/>
      </w:pPr>
      <w:r>
        <w:rPr>
          <w:rFonts w:ascii="Arial" w:cs="Arial" w:eastAsia="Arial" w:hAnsi="Arial"/>
          <w:b/>
          <w:bCs/>
          <w:sz w:val="20"/>
          <w:szCs w:val="20"/>
        </w:rPr>
        <w:t xml:space="preserve">pgvector: </w:t>
      </w:r>
      <w:r>
        <w:rPr>
          <w:rFonts w:ascii="Arial" w:cs="Arial" w:eastAsia="Arial" w:hAnsi="Arial"/>
          <w:sz w:val="20"/>
          <w:szCs w:val="20"/>
        </w:rPr>
        <w:t xml:space="preserve">Vector search + relational queries on metadata in single PostgreSQL instance.</w:t>
      </w:r>
    </w:p>
    <w:p>
      <w:pPr>
        <w:spacing w:after="120"/>
      </w:pPr>
      <w:r>
        <w:rPr>
          <w:rFonts w:ascii="Arial" w:cs="Arial" w:eastAsia="Arial" w:hAnsi="Arial"/>
          <w:b/>
          <w:bCs/>
          <w:sz w:val="20"/>
          <w:szCs w:val="20"/>
        </w:rPr>
        <w:t xml:space="preserve">Chroma: </w:t>
      </w:r>
      <w:r>
        <w:rPr>
          <w:rFonts w:ascii="Arial" w:cs="Arial" w:eastAsia="Arial" w:hAnsi="Arial"/>
          <w:sz w:val="20"/>
          <w:szCs w:val="20"/>
        </w:rPr>
        <w:t xml:space="preserve">Python SDK, lightweight, rapid prototyping.</w:t>
      </w:r>
    </w:p>
    <w:p>
      <w:pPr>
        <w:spacing w:after="120"/>
      </w:pPr>
      <w:r>
        <w:rPr>
          <w:rFonts w:ascii="Arial" w:cs="Arial" w:eastAsia="Arial" w:hAnsi="Arial"/>
          <w:b/>
          <w:bCs/>
          <w:sz w:val="20"/>
          <w:szCs w:val="20"/>
        </w:rPr>
        <w:t xml:space="preserve">LanceDB: </w:t>
      </w:r>
      <w:r>
        <w:rPr>
          <w:rFonts w:ascii="Arial" w:cs="Arial" w:eastAsia="Arial" w:hAnsi="Arial"/>
          <w:sz w:val="20"/>
          <w:szCs w:val="20"/>
        </w:rPr>
        <w:t xml:space="preserve">Parquet-based Lance format aligns with BlockData output.</w:t>
      </w:r>
    </w:p>
    <w:p>
      <w:pPr>
        <w:spacing w:after="120"/>
      </w:pPr>
      <w:r>
        <w:rPr>
          <w:rFonts w:ascii="Arial" w:cs="Arial" w:eastAsia="Arial" w:hAnsi="Arial"/>
          <w:sz w:val="20"/>
          <w:szCs w:val="20"/>
        </w:rPr>
        <w:t xml:space="preserve">Critical value: BlockData's per-block metadata becomes filterable attributes in vector search. Queries like 'find paragraphs about indemnification where extraction confidence &gt; 0.9' combine semantic similarity with metadata filtering.</w:t>
      </w:r>
    </w:p>
    <w:p>
      <w:pPr>
        <w:pStyle w:val="Heading2"/>
        <w:spacing w:before="300" w:after="150"/>
      </w:pPr>
      <w:r>
        <w:rPr>
          <w:rFonts w:ascii="Arial" w:cs="Arial" w:eastAsia="Arial" w:hAnsi="Arial"/>
          <w:b/>
          <w:bCs/>
          <w:color w:val="1E2128"/>
          <w:sz w:val="26"/>
          <w:szCs w:val="26"/>
        </w:rPr>
        <w:t xml:space="preserve">2.3 Search Engines</w:t>
      </w:r>
    </w:p>
    <w:p>
      <w:pPr>
        <w:spacing w:after="120"/>
      </w:pPr>
      <w:r>
        <w:rPr>
          <w:rFonts w:ascii="Arial" w:cs="Arial" w:eastAsia="Arial" w:hAnsi="Arial"/>
          <w:sz w:val="20"/>
          <w:szCs w:val="20"/>
        </w:rPr>
        <w:t xml:space="preserve">Elasticsearch and OpenSearch use NDJSON as their native bulk ingestion format. NDJSON is structurally identical to JSONL, meaning BlockData output flows into the _bulk endpoint with minimal adaptation. Python's helpers.bulk() handles this automatically, supporting 10K+ documents/second indexing.</w:t>
      </w:r>
    </w:p>
    <w:p>
      <w:pPr>
        <w:spacing w:after="120"/>
      </w:pPr>
      <w:r>
        <w:rPr>
          <w:rFonts w:ascii="Arial" w:cs="Arial" w:eastAsia="Arial" w:hAnsi="Arial"/>
          <w:sz w:val="20"/>
          <w:szCs w:val="20"/>
        </w:rPr>
        <w:t xml:space="preserve">Additional search destinations: Typesense (natively accepts JSONL), Algolia (REST API, batch JSON), Meilisearch (REST API, JSON batch import), Apache Solr (update API supporting JSON Lines).</w:t>
      </w:r>
    </w:p>
    <w:p>
      <w:pPr>
        <w:pStyle w:val="Heading2"/>
        <w:spacing w:before="300" w:after="150"/>
      </w:pPr>
      <w:r>
        <w:rPr>
          <w:rFonts w:ascii="Arial" w:cs="Arial" w:eastAsia="Arial" w:hAnsi="Arial"/>
          <w:b/>
          <w:bCs/>
          <w:color w:val="1E2128"/>
          <w:sz w:val="26"/>
          <w:szCs w:val="26"/>
        </w:rPr>
        <w:t xml:space="preserve">2.4 ML &amp; AI Platforms</w:t>
      </w:r>
    </w:p>
    <w:p>
      <w:pPr>
        <w:spacing w:after="120"/>
      </w:pPr>
      <w:r>
        <w:rPr>
          <w:rFonts w:ascii="Arial" w:cs="Arial" w:eastAsia="Arial" w:hAnsi="Arial"/>
          <w:sz w:val="20"/>
          <w:szCs w:val="20"/>
        </w:rPr>
        <w:t xml:space="preserve">The alignment between BlockData's output formats and ML platform requirements is remarkably tight:</w:t>
      </w:r>
    </w:p>
    <w:p>
      <w:pPr>
        <w:spacing w:after="120"/>
      </w:pPr>
      <w:r>
        <w:rPr>
          <w:rFonts w:ascii="Arial" w:cs="Arial" w:eastAsia="Arial" w:hAnsi="Arial"/>
          <w:b/>
          <w:bCs/>
          <w:sz w:val="20"/>
          <w:szCs w:val="20"/>
        </w:rPr>
        <w:t xml:space="preserve">OpenAI fine-tuning: </w:t>
      </w:r>
      <w:r>
        <w:rPr>
          <w:rFonts w:ascii="Arial" w:cs="Arial" w:eastAsia="Arial" w:hAnsi="Arial"/>
          <w:sz w:val="20"/>
          <w:szCs w:val="20"/>
        </w:rPr>
        <w:t xml:space="preserve">Requires JSONL. Confirmed overlays are direct training pairs for domain-specific extraction models.</w:t>
      </w:r>
    </w:p>
    <w:p>
      <w:pPr>
        <w:spacing w:after="120"/>
      </w:pPr>
      <w:r>
        <w:rPr>
          <w:rFonts w:ascii="Arial" w:cs="Arial" w:eastAsia="Arial" w:hAnsi="Arial"/>
          <w:b/>
          <w:bCs/>
          <w:sz w:val="20"/>
          <w:szCs w:val="20"/>
        </w:rPr>
        <w:t xml:space="preserve">Hugging Face: </w:t>
      </w:r>
      <w:r>
        <w:rPr>
          <w:rFonts w:ascii="Arial" w:cs="Arial" w:eastAsia="Arial" w:hAnsi="Arial"/>
          <w:sz w:val="20"/>
          <w:szCs w:val="20"/>
        </w:rPr>
        <w:t xml:space="preserve">Natively supports JSONL, CSV, and Parquet. BlockData outputs are directly publishable as community datasets.</w:t>
      </w:r>
    </w:p>
    <w:p>
      <w:pPr>
        <w:spacing w:after="120"/>
      </w:pPr>
      <w:r>
        <w:rPr>
          <w:rFonts w:ascii="Arial" w:cs="Arial" w:eastAsia="Arial" w:hAnsi="Arial"/>
          <w:b/>
          <w:bCs/>
          <w:sz w:val="20"/>
          <w:szCs w:val="20"/>
        </w:rPr>
        <w:t xml:space="preserve">Google Vertex AI: </w:t>
      </w:r>
      <w:r>
        <w:rPr>
          <w:rFonts w:ascii="Arial" w:cs="Arial" w:eastAsia="Arial" w:hAnsi="Arial"/>
          <w:sz w:val="20"/>
          <w:szCs w:val="20"/>
        </w:rPr>
        <w:t xml:space="preserve">JSONL/CSV for AutoML and Gemini fine-tuning.</w:t>
      </w:r>
    </w:p>
    <w:p>
      <w:pPr>
        <w:spacing w:after="120"/>
      </w:pPr>
      <w:r>
        <w:rPr>
          <w:rFonts w:ascii="Arial" w:cs="Arial" w:eastAsia="Arial" w:hAnsi="Arial"/>
          <w:b/>
          <w:bCs/>
          <w:sz w:val="20"/>
          <w:szCs w:val="20"/>
        </w:rPr>
        <w:t xml:space="preserve">Amazon SageMaker: </w:t>
      </w:r>
      <w:r>
        <w:rPr>
          <w:rFonts w:ascii="Arial" w:cs="Arial" w:eastAsia="Arial" w:hAnsi="Arial"/>
          <w:sz w:val="20"/>
          <w:szCs w:val="20"/>
        </w:rPr>
        <w:t xml:space="preserve">CSV/JSON/Parquet via S3 channels.</w:t>
      </w:r>
    </w:p>
    <w:p>
      <w:pPr>
        <w:spacing w:after="120"/>
      </w:pPr>
      <w:r>
        <w:rPr>
          <w:rFonts w:ascii="Arial" w:cs="Arial" w:eastAsia="Arial" w:hAnsi="Arial"/>
          <w:b/>
          <w:bCs/>
          <w:sz w:val="20"/>
          <w:szCs w:val="20"/>
        </w:rPr>
        <w:t xml:space="preserve">LangChain: </w:t>
      </w:r>
      <w:r>
        <w:rPr>
          <w:rFonts w:ascii="Arial" w:cs="Arial" w:eastAsia="Arial" w:hAnsi="Arial"/>
          <w:sz w:val="20"/>
          <w:szCs w:val="20"/>
        </w:rPr>
        <w:t xml:space="preserve">JSONLoader with json_lines=True support. Block metadata becomes retrieval filters for RAG.</w:t>
      </w:r>
    </w:p>
    <w:p>
      <w:pPr>
        <w:spacing w:after="120"/>
      </w:pPr>
      <w:r>
        <w:rPr>
          <w:rFonts w:ascii="Arial" w:cs="Arial" w:eastAsia="Arial" w:hAnsi="Arial"/>
          <w:b/>
          <w:bCs/>
          <w:sz w:val="20"/>
          <w:szCs w:val="20"/>
        </w:rPr>
        <w:t xml:space="preserve">LlamaIndex: </w:t>
      </w:r>
      <w:r>
        <w:rPr>
          <w:rFonts w:ascii="Arial" w:cs="Arial" w:eastAsia="Arial" w:hAnsi="Arial"/>
          <w:sz w:val="20"/>
          <w:szCs w:val="20"/>
        </w:rPr>
        <w:t xml:space="preserve">JSONReader with is_jsonl=True. Direct RAG pipeline integration.</w:t>
      </w:r>
    </w:p>
    <w:p>
      <w:pPr>
        <w:spacing w:after="120"/>
      </w:pPr>
      <w:r>
        <w:rPr>
          <w:rFonts w:ascii="Arial" w:cs="Arial" w:eastAsia="Arial" w:hAnsi="Arial"/>
          <w:b/>
          <w:bCs/>
          <w:sz w:val="20"/>
          <w:szCs w:val="20"/>
        </w:rPr>
        <w:t xml:space="preserve">Weights &amp; Biases / MLflow / DVC: </w:t>
      </w:r>
      <w:r>
        <w:rPr>
          <w:rFonts w:ascii="Arial" w:cs="Arial" w:eastAsia="Arial" w:hAnsi="Arial"/>
          <w:sz w:val="20"/>
          <w:szCs w:val="20"/>
        </w:rPr>
        <w:t xml:space="preserve">Experiment tracking and dataset versioning for training pipelines.</w:t>
      </w:r>
    </w:p>
    <w:p>
      <w:pPr>
        <w:spacing w:after="120"/>
      </w:pPr>
      <w:r>
        <w:rPr>
          <w:rFonts w:ascii="Arial" w:cs="Arial" w:eastAsia="Arial" w:hAnsi="Arial"/>
          <w:b/>
          <w:bCs/>
          <w:sz w:val="20"/>
          <w:szCs w:val="20"/>
        </w:rPr>
        <w:t xml:space="preserve">Label Studio / Argilla / Labelbox: </w:t>
      </w:r>
      <w:r>
        <w:rPr>
          <w:rFonts w:ascii="Arial" w:cs="Arial" w:eastAsia="Arial" w:hAnsi="Arial"/>
          <w:sz w:val="20"/>
          <w:szCs w:val="20"/>
        </w:rPr>
        <w:t xml:space="preserve">Seed annotation tasks with BlockData's structured extractions for human-in-the-loop validation.</w:t>
      </w:r>
    </w:p>
    <w:p>
      <w:pPr>
        <w:pStyle w:val="Heading2"/>
        <w:spacing w:before="300" w:after="150"/>
      </w:pPr>
      <w:r>
        <w:rPr>
          <w:rFonts w:ascii="Arial" w:cs="Arial" w:eastAsia="Arial" w:hAnsi="Arial"/>
          <w:b/>
          <w:bCs/>
          <w:color w:val="1E2128"/>
          <w:sz w:val="26"/>
          <w:szCs w:val="26"/>
        </w:rPr>
        <w:t xml:space="preserve">2.5 Knowledge Graphs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Platform</w:t>
            </w:r>
          </w:p>
        </w:tc>
        <w:tc>
          <w:tcPr>
            <w:tcW w:type="dxa" w:w="30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Import Mechanism</w:t>
            </w:r>
          </w:p>
        </w:tc>
        <w:tc>
          <w:tcPr>
            <w:tcW w:type="dxa" w:w="43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Neo4j</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LOAD CSV, APOC JSON import, Parquet bulk tool</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Block overlays become nodes + edges for citation networks, concept maps</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Amazon Neptune</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S3 bulk loader (CSV/JSON-LD)</w:t>
            </w:r>
          </w:p>
        </w:tc>
        <w:tc>
          <w:tcPr>
            <w:tcW w:type="dxa" w:w="43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RDF or property graph from structured extractions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TigerGraph</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GSQL loading from CSV/JSON</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sz w:val="18"/>
                <w:szCs w:val="18"/>
              </w:rPr>
              <w:t xml:space="preserve">High-performance graph analytics at scale</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ArangoDB</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Multi-model import APIs</w:t>
            </w:r>
          </w:p>
        </w:tc>
        <w:tc>
          <w:tcPr>
            <w:tcW w:type="dxa" w:w="43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Document + graph + search in one database</w:t>
            </w:r>
          </w:p>
        </w:tc>
      </w:tr>
    </w:tbl>
    <w:p>
      <w:pPr>
        <w:pStyle w:val="Heading2"/>
        <w:spacing w:before="300" w:after="150"/>
      </w:pPr>
      <w:r>
        <w:rPr>
          <w:rFonts w:ascii="Arial" w:cs="Arial" w:eastAsia="Arial" w:hAnsi="Arial"/>
          <w:b/>
          <w:bCs/>
          <w:color w:val="1E2128"/>
          <w:sz w:val="26"/>
          <w:szCs w:val="26"/>
        </w:rPr>
        <w:t xml:space="preserve">2.6 Business Intelligence &amp; Visualization</w:t>
      </w:r>
    </w:p>
    <w:p>
      <w:pPr>
        <w:spacing w:after="120"/>
      </w:pPr>
      <w:r>
        <w:rPr>
          <w:rFonts w:ascii="Arial" w:cs="Arial" w:eastAsia="Arial" w:hAnsi="Arial"/>
          <w:sz w:val="20"/>
          <w:szCs w:val="20"/>
        </w:rPr>
        <w:t xml:space="preserve">Tableau (CSV/Parquet connectors, Hyper API), Power BI (Power Query for CSV/JSON/Parquet), Looker (LookML over BigQuery), Metabase and Apache Superset (open-source, DuckDB connectors) visualize document processing metrics and extraction analytics. These typically connect to warehouses where BlockData output has been loaded.</w:t>
      </w:r>
    </w:p>
    <w:p>
      <w:pPr>
        <w:pStyle w:val="Heading2"/>
        <w:spacing w:before="300" w:after="150"/>
      </w:pPr>
      <w:r>
        <w:rPr>
          <w:rFonts w:ascii="Arial" w:cs="Arial" w:eastAsia="Arial" w:hAnsi="Arial"/>
          <w:b/>
          <w:bCs/>
          <w:color w:val="1E2128"/>
          <w:sz w:val="26"/>
          <w:szCs w:val="26"/>
        </w:rPr>
        <w:t xml:space="preserve">2.7 CRM Enrichment &amp; Project Management</w:t>
      </w:r>
    </w:p>
    <w:p>
      <w:pPr>
        <w:spacing w:after="120"/>
      </w:pPr>
      <w:r>
        <w:rPr>
          <w:rFonts w:ascii="Arial" w:cs="Arial" w:eastAsia="Arial" w:hAnsi="Arial"/>
          <w:b/>
          <w:bCs/>
          <w:sz w:val="20"/>
          <w:szCs w:val="20"/>
        </w:rPr>
        <w:t xml:space="preserve">Salesforce: </w:t>
      </w:r>
      <w:r>
        <w:rPr>
          <w:rFonts w:ascii="Arial" w:cs="Arial" w:eastAsia="Arial" w:hAnsi="Arial"/>
          <w:sz w:val="20"/>
          <w:szCs w:val="20"/>
        </w:rPr>
        <w:t xml:space="preserve">Bulk API 2.0 accepts CSV for up to 5M+ records. Extracted contract terms enrich deal records.</w:t>
      </w:r>
    </w:p>
    <w:p>
      <w:pPr>
        <w:spacing w:after="120"/>
      </w:pPr>
      <w:r>
        <w:rPr>
          <w:rFonts w:ascii="Arial" w:cs="Arial" w:eastAsia="Arial" w:hAnsi="Arial"/>
          <w:b/>
          <w:bCs/>
          <w:sz w:val="20"/>
          <w:szCs w:val="20"/>
        </w:rPr>
        <w:t xml:space="preserve">HubSpot: </w:t>
      </w:r>
      <w:r>
        <w:rPr>
          <w:rFonts w:ascii="Arial" w:cs="Arial" w:eastAsia="Arial" w:hAnsi="Arial"/>
          <w:sz w:val="20"/>
          <w:szCs w:val="20"/>
        </w:rPr>
        <w:t xml:space="preserve">CRM Imports API supports CSV up to 80M rows/day. Custom properties via API.</w:t>
      </w:r>
    </w:p>
    <w:p>
      <w:pPr>
        <w:spacing w:after="120"/>
      </w:pPr>
      <w:r>
        <w:rPr>
          <w:rFonts w:ascii="Arial" w:cs="Arial" w:eastAsia="Arial" w:hAnsi="Arial"/>
          <w:b/>
          <w:bCs/>
          <w:sz w:val="20"/>
          <w:szCs w:val="20"/>
        </w:rPr>
        <w:t xml:space="preserve">Jira: </w:t>
      </w:r>
      <w:r>
        <w:rPr>
          <w:rFonts w:ascii="Arial" w:cs="Arial" w:eastAsia="Arial" w:hAnsi="Arial"/>
          <w:sz w:val="20"/>
          <w:szCs w:val="20"/>
        </w:rPr>
        <w:t xml:space="preserve">CSV importer with field mapping plus REST API. Extracted obligations become tracked tickets.</w:t>
      </w:r>
    </w:p>
    <w:p>
      <w:pPr>
        <w:spacing w:after="120"/>
      </w:pPr>
      <w:r>
        <w:rPr>
          <w:rFonts w:ascii="Arial" w:cs="Arial" w:eastAsia="Arial" w:hAnsi="Arial"/>
          <w:b/>
          <w:bCs/>
          <w:sz w:val="20"/>
          <w:szCs w:val="20"/>
        </w:rPr>
        <w:t xml:space="preserve">Asana: </w:t>
      </w:r>
      <w:r>
        <w:rPr>
          <w:rFonts w:ascii="Arial" w:cs="Arial" w:eastAsia="Arial" w:hAnsi="Arial"/>
          <w:sz w:val="20"/>
          <w:szCs w:val="20"/>
        </w:rPr>
        <w:t xml:space="preserve">CSV import mapping to tasks with assignees and due dates.</w:t>
      </w:r>
    </w:p>
    <w:p>
      <w:pPr>
        <w:spacing w:after="120"/>
      </w:pPr>
      <w:r>
        <w:rPr>
          <w:rFonts w:ascii="Arial" w:cs="Arial" w:eastAsia="Arial" w:hAnsi="Arial"/>
          <w:b/>
          <w:bCs/>
          <w:sz w:val="20"/>
          <w:szCs w:val="20"/>
        </w:rPr>
        <w:t xml:space="preserve">Monday.com: </w:t>
      </w:r>
      <w:r>
        <w:rPr>
          <w:rFonts w:ascii="Arial" w:cs="Arial" w:eastAsia="Arial" w:hAnsi="Arial"/>
          <w:sz w:val="20"/>
          <w:szCs w:val="20"/>
        </w:rPr>
        <w:t xml:space="preserve">GraphQL API for programmatic item creation.</w:t>
      </w:r>
    </w:p>
    <w:p>
      <w:pPr>
        <w:spacing w:after="120"/>
      </w:pPr>
      <w:r>
        <w:rPr>
          <w:rFonts w:ascii="Arial" w:cs="Arial" w:eastAsia="Arial" w:hAnsi="Arial"/>
          <w:b/>
          <w:bCs/>
          <w:sz w:val="20"/>
          <w:szCs w:val="20"/>
        </w:rPr>
        <w:t xml:space="preserve">Smartsheet: </w:t>
      </w:r>
      <w:r>
        <w:rPr>
          <w:rFonts w:ascii="Arial" w:cs="Arial" w:eastAsia="Arial" w:hAnsi="Arial"/>
          <w:sz w:val="20"/>
          <w:szCs w:val="20"/>
        </w:rPr>
        <w:t xml:space="preserve">Import API accepting CSV directly via binary upload.</w:t>
      </w:r>
    </w:p>
    <w:p>
      <w:pPr>
        <w:pStyle w:val="Heading2"/>
        <w:spacing w:before="300" w:after="150"/>
      </w:pPr>
      <w:r>
        <w:rPr>
          <w:rFonts w:ascii="Arial" w:cs="Arial" w:eastAsia="Arial" w:hAnsi="Arial"/>
          <w:b/>
          <w:bCs/>
          <w:color w:val="1E2128"/>
          <w:sz w:val="26"/>
          <w:szCs w:val="26"/>
        </w:rPr>
        <w:t xml:space="preserve">2.8 Compliance &amp; Regulatory Platforms</w:t>
      </w:r>
    </w:p>
    <w:p>
      <w:pPr>
        <w:spacing w:after="120"/>
      </w:pPr>
      <w:r>
        <w:rPr>
          <w:rFonts w:ascii="Arial" w:cs="Arial" w:eastAsia="Arial" w:hAnsi="Arial"/>
          <w:b/>
          <w:bCs/>
          <w:sz w:val="20"/>
          <w:szCs w:val="20"/>
        </w:rPr>
        <w:t xml:space="preserve">ServiceNow GRC: </w:t>
      </w:r>
      <w:r>
        <w:rPr>
          <w:rFonts w:ascii="Arial" w:cs="Arial" w:eastAsia="Arial" w:hAnsi="Arial"/>
          <w:sz w:val="20"/>
          <w:szCs w:val="20"/>
        </w:rPr>
        <w:t xml:space="preserve">Policy &amp; Compliance Integrator REST API accepts JSON batch imports. Extracted requirements become citations linked to control objectives.</w:t>
      </w:r>
    </w:p>
    <w:p>
      <w:pPr>
        <w:spacing w:after="120"/>
      </w:pPr>
      <w:r>
        <w:rPr>
          <w:rFonts w:ascii="Arial" w:cs="Arial" w:eastAsia="Arial" w:hAnsi="Arial"/>
          <w:b/>
          <w:bCs/>
          <w:sz w:val="20"/>
          <w:szCs w:val="20"/>
        </w:rPr>
        <w:t xml:space="preserve">OneTrust: </w:t>
      </w:r>
      <w:r>
        <w:rPr>
          <w:rFonts w:ascii="Arial" w:cs="Arial" w:eastAsia="Arial" w:hAnsi="Arial"/>
          <w:sz w:val="20"/>
          <w:szCs w:val="20"/>
        </w:rPr>
        <w:t xml:space="preserve">REST API for assessments and data inventory, CSV bulk import.</w:t>
      </w:r>
    </w:p>
    <w:p>
      <w:pPr>
        <w:spacing w:after="120"/>
      </w:pPr>
      <w:r>
        <w:rPr>
          <w:rFonts w:ascii="Arial" w:cs="Arial" w:eastAsia="Arial" w:hAnsi="Arial"/>
          <w:sz w:val="20"/>
          <w:szCs w:val="20"/>
        </w:rPr>
        <w:t xml:space="preserve">Additional compliance destinations: LogicGate, Archer/RSA, MetricStream, Diligent, NAVEX Global.</w:t>
      </w:r>
    </w:p>
    <w:p>
      <w:pPr>
        <w:pStyle w:val="Heading2"/>
        <w:spacing w:before="300" w:after="150"/>
      </w:pPr>
      <w:r>
        <w:rPr>
          <w:rFonts w:ascii="Arial" w:cs="Arial" w:eastAsia="Arial" w:hAnsi="Arial"/>
          <w:b/>
          <w:bCs/>
          <w:color w:val="1E2128"/>
          <w:sz w:val="26"/>
          <w:szCs w:val="26"/>
        </w:rPr>
        <w:t xml:space="preserve">2.9 Workflow Automation (Multiplier Integrations)</w:t>
      </w:r>
    </w:p>
    <w:p>
      <w:pPr>
        <w:spacing w:after="120"/>
      </w:pPr>
      <w:r>
        <w:rPr>
          <w:rFonts w:ascii="Arial" w:cs="Arial" w:eastAsia="Arial" w:hAnsi="Arial"/>
          <w:sz w:val="20"/>
          <w:szCs w:val="20"/>
        </w:rPr>
        <w:t xml:space="preserve">A single webhook integration with any automation platform bridges output to thousands of SaaS destinations:</w:t>
      </w:r>
    </w:p>
    <w:p>
      <w:pPr>
        <w:spacing w:after="120"/>
      </w:pPr>
      <w:r>
        <w:rPr>
          <w:rFonts w:ascii="Arial" w:cs="Arial" w:eastAsia="Arial" w:hAnsi="Arial"/>
          <w:b/>
          <w:bCs/>
          <w:sz w:val="20"/>
          <w:szCs w:val="20"/>
        </w:rPr>
        <w:t xml:space="preserve">Zapier: </w:t>
      </w:r>
      <w:r>
        <w:rPr>
          <w:rFonts w:ascii="Arial" w:cs="Arial" w:eastAsia="Arial" w:hAnsi="Arial"/>
          <w:sz w:val="20"/>
          <w:szCs w:val="20"/>
        </w:rPr>
        <w:t xml:space="preserve">8,000+ app connectors via webhook catch hook.</w:t>
      </w:r>
    </w:p>
    <w:p>
      <w:pPr>
        <w:spacing w:after="120"/>
      </w:pPr>
      <w:r>
        <w:rPr>
          <w:rFonts w:ascii="Arial" w:cs="Arial" w:eastAsia="Arial" w:hAnsi="Arial"/>
          <w:b/>
          <w:bCs/>
          <w:sz w:val="20"/>
          <w:szCs w:val="20"/>
        </w:rPr>
        <w:t xml:space="preserve">Make (Integromat): </w:t>
      </w:r>
      <w:r>
        <w:rPr>
          <w:rFonts w:ascii="Arial" w:cs="Arial" w:eastAsia="Arial" w:hAnsi="Arial"/>
          <w:sz w:val="20"/>
          <w:szCs w:val="20"/>
        </w:rPr>
        <w:t xml:space="preserve">1,500+ integrations with visual data routing.</w:t>
      </w:r>
    </w:p>
    <w:p>
      <w:pPr>
        <w:spacing w:after="120"/>
      </w:pPr>
      <w:r>
        <w:rPr>
          <w:rFonts w:ascii="Arial" w:cs="Arial" w:eastAsia="Arial" w:hAnsi="Arial"/>
          <w:b/>
          <w:bCs/>
          <w:sz w:val="20"/>
          <w:szCs w:val="20"/>
        </w:rPr>
        <w:t xml:space="preserve">n8n: </w:t>
      </w:r>
      <w:r>
        <w:rPr>
          <w:rFonts w:ascii="Arial" w:cs="Arial" w:eastAsia="Arial" w:hAnsi="Arial"/>
          <w:sz w:val="20"/>
          <w:szCs w:val="20"/>
        </w:rPr>
        <w:t xml:space="preserve">1,100+ integrations, self-hosted option for regulated industries.</w:t>
      </w:r>
    </w:p>
    <w:p>
      <w:pPr>
        <w:spacing w:after="120"/>
      </w:pPr>
      <w:r>
        <w:rPr>
          <w:rFonts w:ascii="Arial" w:cs="Arial" w:eastAsia="Arial" w:hAnsi="Arial"/>
          <w:b/>
          <w:bCs/>
          <w:sz w:val="20"/>
          <w:szCs w:val="20"/>
        </w:rPr>
        <w:t xml:space="preserve">Workato: </w:t>
      </w:r>
      <w:r>
        <w:rPr>
          <w:rFonts w:ascii="Arial" w:cs="Arial" w:eastAsia="Arial" w:hAnsi="Arial"/>
          <w:sz w:val="20"/>
          <w:szCs w:val="20"/>
        </w:rPr>
        <w:t xml:space="preserve">Enterprise iPaaS, 1,000+ connectors, SOC 2/HIPAA compliant.</w:t>
      </w:r>
    </w:p>
    <w:p>
      <w:pPr>
        <w:spacing w:after="120"/>
      </w:pPr>
      <w:r>
        <w:rPr>
          <w:rFonts w:ascii="Arial" w:cs="Arial" w:eastAsia="Arial" w:hAnsi="Arial"/>
          <w:b/>
          <w:bCs/>
          <w:sz w:val="20"/>
          <w:szCs w:val="20"/>
        </w:rPr>
        <w:t xml:space="preserve">Power Automate: </w:t>
      </w:r>
      <w:r>
        <w:rPr>
          <w:rFonts w:ascii="Arial" w:cs="Arial" w:eastAsia="Arial" w:hAnsi="Arial"/>
          <w:sz w:val="20"/>
          <w:szCs w:val="20"/>
        </w:rPr>
        <w:t xml:space="preserve">Native Microsoft ecosystem bridging.</w:t>
      </w:r>
    </w:p>
    <w:p>
      <w:pPr>
        <w:spacing w:after="60"/>
      </w:pPr>
    </w:p>
    <w:p>
      <w:pPr>
        <w:spacing w:after="120"/>
      </w:pPr>
      <w:r>
        <w:rPr>
          <w:rFonts w:ascii="Arial" w:cs="Arial" w:eastAsia="Arial" w:hAnsi="Arial"/>
          <w:sz w:val="20"/>
          <w:szCs w:val="20"/>
        </w:rPr>
        <w:t xml:space="preserve">Pattern: extraction completes → webhook fires → automation platform creates Salesforce record + Slack notification + Jira ticket + Google Sheet row, all from a single event.</w:t>
      </w:r>
    </w:p>
    <w:p>
      <w:pPr>
        <w:pStyle w:val="Heading2"/>
        <w:spacing w:before="300" w:after="150"/>
      </w:pPr>
      <w:r>
        <w:rPr>
          <w:rFonts w:ascii="Arial" w:cs="Arial" w:eastAsia="Arial" w:hAnsi="Arial"/>
          <w:b/>
          <w:bCs/>
          <w:color w:val="1E2128"/>
          <w:sz w:val="26"/>
          <w:szCs w:val="26"/>
        </w:rPr>
        <w:t xml:space="preserve">2.10 Collaboration Destinations</w:t>
      </w:r>
    </w:p>
    <w:p>
      <w:pPr>
        <w:spacing w:after="120"/>
      </w:pPr>
      <w:r>
        <w:rPr>
          <w:rFonts w:ascii="Arial" w:cs="Arial" w:eastAsia="Arial" w:hAnsi="Arial"/>
          <w:b/>
          <w:bCs/>
          <w:sz w:val="20"/>
          <w:szCs w:val="20"/>
        </w:rPr>
        <w:t xml:space="preserve">Airtable: </w:t>
      </w:r>
      <w:r>
        <w:rPr>
          <w:rFonts w:ascii="Arial" w:cs="Arial" w:eastAsia="Arial" w:hAnsi="Arial"/>
          <w:sz w:val="20"/>
          <w:szCs w:val="20"/>
        </w:rPr>
        <w:t xml:space="preserve">CSV import creates instant databases with Grid/Kanban/Gallery/Calendar views. Exceptional destination for non-technical stakeholders.</w:t>
      </w:r>
    </w:p>
    <w:p>
      <w:pPr>
        <w:spacing w:after="120"/>
      </w:pPr>
      <w:r>
        <w:rPr>
          <w:rFonts w:ascii="Arial" w:cs="Arial" w:eastAsia="Arial" w:hAnsi="Arial"/>
          <w:b/>
          <w:bCs/>
          <w:sz w:val="20"/>
          <w:szCs w:val="20"/>
        </w:rPr>
        <w:t xml:space="preserve">Notion: </w:t>
      </w:r>
      <w:r>
        <w:rPr>
          <w:rFonts w:ascii="Arial" w:cs="Arial" w:eastAsia="Arial" w:hAnsi="Arial"/>
          <w:sz w:val="20"/>
          <w:szCs w:val="20"/>
        </w:rPr>
        <w:t xml:space="preserve">CSV import creates databases; API for page creation.</w:t>
      </w:r>
    </w:p>
    <w:p>
      <w:pPr>
        <w:spacing w:after="120"/>
      </w:pPr>
      <w:r>
        <w:rPr>
          <w:rFonts w:ascii="Arial" w:cs="Arial" w:eastAsia="Arial" w:hAnsi="Arial"/>
          <w:b/>
          <w:bCs/>
          <w:sz w:val="20"/>
          <w:szCs w:val="20"/>
        </w:rPr>
        <w:t xml:space="preserve">Google Sheets / Excel Online: </w:t>
      </w:r>
      <w:r>
        <w:rPr>
          <w:rFonts w:ascii="Arial" w:cs="Arial" w:eastAsia="Arial" w:hAnsi="Arial"/>
          <w:sz w:val="20"/>
          <w:szCs w:val="20"/>
        </w:rPr>
        <w:t xml:space="preserve">Via respective APIs. Familiar interfaces for exploration.</w:t>
      </w:r>
    </w:p>
    <w:p>
      <w:pPr>
        <w:spacing w:after="120"/>
      </w:pPr>
      <w:r>
        <w:rPr>
          <w:rFonts w:ascii="Arial" w:cs="Arial" w:eastAsia="Arial" w:hAnsi="Arial"/>
          <w:sz w:val="20"/>
          <w:szCs w:val="20"/>
        </w:rPr>
        <w:t xml:space="preserve">Open-source alternatives: NocoDB, Baserow, Grist (used by French government).</w:t>
      </w:r>
    </w:p>
    <w:p>
      <w:pPr>
        <w:pStyle w:val="Heading2"/>
        <w:spacing w:before="300" w:after="150"/>
      </w:pPr>
      <w:r>
        <w:rPr>
          <w:rFonts w:ascii="Arial" w:cs="Arial" w:eastAsia="Arial" w:hAnsi="Arial"/>
          <w:b/>
          <w:bCs/>
          <w:color w:val="1E2128"/>
          <w:sz w:val="26"/>
          <w:szCs w:val="26"/>
        </w:rPr>
        <w:t xml:space="preserve">2.11 Orchestration &amp; ETL</w:t>
      </w:r>
    </w:p>
    <w:p>
      <w:pPr>
        <w:spacing w:after="120"/>
      </w:pPr>
      <w:r>
        <w:rPr>
          <w:rFonts w:ascii="Arial" w:cs="Arial" w:eastAsia="Arial" w:hAnsi="Arial"/>
          <w:b/>
          <w:bCs/>
          <w:sz w:val="20"/>
          <w:szCs w:val="20"/>
        </w:rPr>
        <w:t xml:space="preserve">Apache Airflow: </w:t>
      </w:r>
      <w:r>
        <w:rPr>
          <w:rFonts w:ascii="Arial" w:cs="Arial" w:eastAsia="Arial" w:hAnsi="Arial"/>
          <w:sz w:val="20"/>
          <w:szCs w:val="20"/>
        </w:rPr>
        <w:t xml:space="preserve">DAG-based scheduling with provider packages for every warehouse.</w:t>
      </w:r>
    </w:p>
    <w:p>
      <w:pPr>
        <w:spacing w:after="120"/>
      </w:pPr>
      <w:r>
        <w:rPr>
          <w:rFonts w:ascii="Arial" w:cs="Arial" w:eastAsia="Arial" w:hAnsi="Arial"/>
          <w:b/>
          <w:bCs/>
          <w:sz w:val="20"/>
          <w:szCs w:val="20"/>
        </w:rPr>
        <w:t xml:space="preserve">Prefect / Dagster: </w:t>
      </w:r>
      <w:r>
        <w:rPr>
          <w:rFonts w:ascii="Arial" w:cs="Arial" w:eastAsia="Arial" w:hAnsi="Arial"/>
          <w:sz w:val="20"/>
          <w:szCs w:val="20"/>
        </w:rPr>
        <w:t xml:space="preserve">Modern Python-native orchestration with asset-based thinking.</w:t>
      </w:r>
    </w:p>
    <w:p>
      <w:pPr>
        <w:spacing w:after="120"/>
      </w:pPr>
      <w:r>
        <w:rPr>
          <w:rFonts w:ascii="Arial" w:cs="Arial" w:eastAsia="Arial" w:hAnsi="Arial"/>
          <w:b/>
          <w:bCs/>
          <w:sz w:val="20"/>
          <w:szCs w:val="20"/>
        </w:rPr>
        <w:t xml:space="preserve">dbt: </w:t>
      </w:r>
      <w:r>
        <w:rPr>
          <w:rFonts w:ascii="Arial" w:cs="Arial" w:eastAsia="Arial" w:hAnsi="Arial"/>
          <w:sz w:val="20"/>
          <w:szCs w:val="20"/>
        </w:rPr>
        <w:t xml:space="preserve">SQL transformation; dbt-duckdb references Parquet directly.</w:t>
      </w:r>
    </w:p>
    <w:p>
      <w:pPr>
        <w:spacing w:after="120"/>
      </w:pPr>
      <w:r>
        <w:rPr>
          <w:rFonts w:ascii="Arial" w:cs="Arial" w:eastAsia="Arial" w:hAnsi="Arial"/>
          <w:b/>
          <w:bCs/>
          <w:sz w:val="20"/>
          <w:szCs w:val="20"/>
        </w:rPr>
        <w:t xml:space="preserve">Fivetran / Airbyte: </w:t>
      </w:r>
      <w:r>
        <w:rPr>
          <w:rFonts w:ascii="Arial" w:cs="Arial" w:eastAsia="Arial" w:hAnsi="Arial"/>
          <w:sz w:val="20"/>
          <w:szCs w:val="20"/>
        </w:rPr>
        <w:t xml:space="preserve">Managed connectors for S3/GCS file sources.</w:t>
      </w:r>
    </w:p>
    <w:p>
      <w:pPr>
        <w:pStyle w:val="Heading1"/>
        <w:spacing w:before="400" w:after="200"/>
      </w:pPr>
      <w:r>
        <w:rPr>
          <w:rFonts w:ascii="Arial" w:cs="Arial" w:eastAsia="Arial" w:hAnsi="Arial"/>
          <w:b/>
          <w:bCs/>
          <w:color w:val="1E2128"/>
          <w:sz w:val="32"/>
          <w:szCs w:val="32"/>
        </w:rPr>
        <w:t xml:space="preserve">Part 3: Integration by Industry Vertical</w:t>
      </w:r>
    </w:p>
    <w:p>
      <w:pPr>
        <w:pStyle w:val="Heading2"/>
        <w:spacing w:before="300" w:after="150"/>
      </w:pPr>
      <w:r>
        <w:rPr>
          <w:rFonts w:ascii="Arial" w:cs="Arial" w:eastAsia="Arial" w:hAnsi="Arial"/>
          <w:b/>
          <w:bCs/>
          <w:color w:val="1E2128"/>
          <w:sz w:val="26"/>
          <w:szCs w:val="26"/>
        </w:rPr>
        <w:t xml:space="preserve">3.1 Legal</w:t>
      </w:r>
    </w:p>
    <w:p>
      <w:pPr>
        <w:spacing w:after="120"/>
      </w:pPr>
      <w:r>
        <w:rPr>
          <w:rFonts w:ascii="Arial" w:cs="Arial" w:eastAsia="Arial" w:hAnsi="Arial"/>
          <w:sz w:val="20"/>
          <w:szCs w:val="20"/>
        </w:rPr>
        <w:t xml:space="preserve">Sources: CourtListener, PACER, Westlaw, LexisNexis, Caselaw Access Project, SEC EDGAR, iManage, NetDocuments, Relativity, Ironclad, Icertis, GovInfo.gov, Federal Register, LegiScan.</w:t>
      </w:r>
    </w:p>
    <w:p>
      <w:pPr>
        <w:spacing w:after="120"/>
      </w:pPr>
      <w:r>
        <w:rPr>
          <w:rFonts w:ascii="Arial" w:cs="Arial" w:eastAsia="Arial" w:hAnsi="Arial"/>
          <w:sz w:val="20"/>
          <w:szCs w:val="20"/>
        </w:rPr>
        <w:t xml:space="preserve">Destinations: Neo4j (citation networks), Clio (matter records), CLM platforms (bidirectional), compliance systems, DuckDB/BigQuery (analytical datasets), OpenAI (fine-tuning legal models), vector databases (legal RAG).</w:t>
      </w:r>
    </w:p>
    <w:p>
      <w:pPr>
        <w:pStyle w:val="Heading2"/>
        <w:spacing w:before="300" w:after="150"/>
      </w:pPr>
      <w:r>
        <w:rPr>
          <w:rFonts w:ascii="Arial" w:cs="Arial" w:eastAsia="Arial" w:hAnsi="Arial"/>
          <w:b/>
          <w:bCs/>
          <w:color w:val="1E2128"/>
          <w:sz w:val="26"/>
          <w:szCs w:val="26"/>
        </w:rPr>
        <w:t xml:space="preserve">3.2 Healthcare</w:t>
      </w:r>
    </w:p>
    <w:p>
      <w:pPr>
        <w:spacing w:after="120"/>
      </w:pPr>
      <w:r>
        <w:rPr>
          <w:rFonts w:ascii="Arial" w:cs="Arial" w:eastAsia="Arial" w:hAnsi="Arial"/>
          <w:sz w:val="20"/>
          <w:szCs w:val="20"/>
        </w:rPr>
        <w:t xml:space="preserve">Sources: Epic (FHIR R4), Oracle Health/Cerner (FHIR R4), PubMed/MEDLINE, PubMed Central (BioC API), ClinicalTrials.gov, openFDA.</w:t>
      </w:r>
    </w:p>
    <w:p>
      <w:pPr>
        <w:spacing w:after="120"/>
      </w:pPr>
      <w:r>
        <w:rPr>
          <w:rFonts w:ascii="Arial" w:cs="Arial" w:eastAsia="Arial" w:hAnsi="Arial"/>
          <w:sz w:val="20"/>
          <w:szCs w:val="20"/>
        </w:rPr>
        <w:t xml:space="preserve">Destinations: FHIR write-back to EHR systems, clinical decision support, quality reporting (QRDA/eCQM), population health platforms, research knowledge graphs.</w:t>
      </w:r>
    </w:p>
    <w:p>
      <w:pPr>
        <w:pStyle w:val="Heading2"/>
        <w:spacing w:before="300" w:after="150"/>
      </w:pPr>
      <w:r>
        <w:rPr>
          <w:rFonts w:ascii="Arial" w:cs="Arial" w:eastAsia="Arial" w:hAnsi="Arial"/>
          <w:b/>
          <w:bCs/>
          <w:color w:val="1E2128"/>
          <w:sz w:val="26"/>
          <w:szCs w:val="26"/>
        </w:rPr>
        <w:t xml:space="preserve">3.3 Finance &amp; Insurance</w:t>
      </w:r>
    </w:p>
    <w:p>
      <w:pPr>
        <w:spacing w:after="120"/>
      </w:pPr>
      <w:r>
        <w:rPr>
          <w:rFonts w:ascii="Arial" w:cs="Arial" w:eastAsia="Arial" w:hAnsi="Arial"/>
          <w:sz w:val="20"/>
          <w:szCs w:val="20"/>
        </w:rPr>
        <w:t xml:space="preserve">Sources: SEC EDGAR (10-K, 10-Q, 8-K), Bloomberg (Terminal API), Guidewire, Duck Creek, policy administration systems.</w:t>
      </w:r>
    </w:p>
    <w:p>
      <w:pPr>
        <w:spacing w:after="120"/>
      </w:pPr>
      <w:r>
        <w:rPr>
          <w:rFonts w:ascii="Arial" w:cs="Arial" w:eastAsia="Arial" w:hAnsi="Arial"/>
          <w:sz w:val="20"/>
          <w:szCs w:val="20"/>
        </w:rPr>
        <w:t xml:space="preserve">Destinations: Risk analytics (Snowflake/BigQuery), compliance systems, Salesforce (deal enrichment), obligation registers, regulatory reporting.</w:t>
      </w:r>
    </w:p>
    <w:p>
      <w:pPr>
        <w:pStyle w:val="Heading2"/>
        <w:spacing w:before="300" w:after="150"/>
      </w:pPr>
      <w:r>
        <w:rPr>
          <w:rFonts w:ascii="Arial" w:cs="Arial" w:eastAsia="Arial" w:hAnsi="Arial"/>
          <w:b/>
          <w:bCs/>
          <w:color w:val="1E2128"/>
          <w:sz w:val="26"/>
          <w:szCs w:val="26"/>
        </w:rPr>
        <w:t xml:space="preserve">3.4 Academic &amp; Research</w:t>
      </w:r>
    </w:p>
    <w:p>
      <w:pPr>
        <w:spacing w:after="120"/>
      </w:pPr>
      <w:r>
        <w:rPr>
          <w:rFonts w:ascii="Arial" w:cs="Arial" w:eastAsia="Arial" w:hAnsi="Arial"/>
          <w:sz w:val="20"/>
          <w:szCs w:val="20"/>
        </w:rPr>
        <w:t xml:space="preserve">Sources: Semantic Scholar, arXiv, CrossRef, JSTOR, DSpace/EPrints repositories, bioRxiv/medRxiv.</w:t>
      </w:r>
    </w:p>
    <w:p>
      <w:pPr>
        <w:spacing w:after="120"/>
      </w:pPr>
      <w:r>
        <w:rPr>
          <w:rFonts w:ascii="Arial" w:cs="Arial" w:eastAsia="Arial" w:hAnsi="Arial"/>
          <w:sz w:val="20"/>
          <w:szCs w:val="20"/>
        </w:rPr>
        <w:t xml:space="preserve">Destinations: Knowledge graphs (citation analysis), Hugging Face (published datasets), vector databases (semantic research search), DuckDB (corpus analytics).</w:t>
      </w:r>
    </w:p>
    <w:p>
      <w:pPr>
        <w:pStyle w:val="Heading2"/>
        <w:spacing w:before="300" w:after="150"/>
      </w:pPr>
      <w:r>
        <w:rPr>
          <w:rFonts w:ascii="Arial" w:cs="Arial" w:eastAsia="Arial" w:hAnsi="Arial"/>
          <w:b/>
          <w:bCs/>
          <w:color w:val="1E2128"/>
          <w:sz w:val="26"/>
          <w:szCs w:val="26"/>
        </w:rPr>
        <w:t xml:space="preserve">3.5 Government</w:t>
      </w:r>
    </w:p>
    <w:p>
      <w:pPr>
        <w:spacing w:after="120"/>
      </w:pPr>
      <w:r>
        <w:rPr>
          <w:rFonts w:ascii="Arial" w:cs="Arial" w:eastAsia="Arial" w:hAnsi="Arial"/>
          <w:sz w:val="20"/>
          <w:szCs w:val="20"/>
        </w:rPr>
        <w:t xml:space="preserve">Sources: GovInfo.gov, Federal Register, Regulations.gov, FOIA reading rooms, SAM.gov, National Archives, state legislative databases.</w:t>
      </w:r>
    </w:p>
    <w:p>
      <w:pPr>
        <w:spacing w:after="120"/>
      </w:pPr>
      <w:r>
        <w:rPr>
          <w:rFonts w:ascii="Arial" w:cs="Arial" w:eastAsia="Arial" w:hAnsi="Arial"/>
          <w:sz w:val="20"/>
          <w:szCs w:val="20"/>
        </w:rPr>
        <w:t xml:space="preserve">Destinations: ServiceNow GRC, compliance platforms, public data portals, knowledge graphs for policy analysis.</w:t>
      </w:r>
    </w:p>
    <w:p>
      <w:pPr>
        <w:pStyle w:val="Heading2"/>
        <w:spacing w:before="300" w:after="150"/>
      </w:pPr>
      <w:r>
        <w:rPr>
          <w:rFonts w:ascii="Arial" w:cs="Arial" w:eastAsia="Arial" w:hAnsi="Arial"/>
          <w:b/>
          <w:bCs/>
          <w:color w:val="1E2128"/>
          <w:sz w:val="26"/>
          <w:szCs w:val="26"/>
        </w:rPr>
        <w:t xml:space="preserve">3.6 Real Estate &amp; Construction</w:t>
      </w:r>
    </w:p>
    <w:p>
      <w:pPr>
        <w:spacing w:after="120"/>
      </w:pPr>
      <w:r>
        <w:rPr>
          <w:rFonts w:ascii="Arial" w:cs="Arial" w:eastAsia="Arial" w:hAnsi="Arial"/>
          <w:sz w:val="20"/>
          <w:szCs w:val="20"/>
        </w:rPr>
        <w:t xml:space="preserve">Sources: Dotloop, SkySlope, DocuSign Rooms, county recorder databases, building department portals.</w:t>
      </w:r>
    </w:p>
    <w:p>
      <w:pPr>
        <w:spacing w:after="120"/>
      </w:pPr>
      <w:r>
        <w:rPr>
          <w:rFonts w:ascii="Arial" w:cs="Arial" w:eastAsia="Arial" w:hAnsi="Arial"/>
          <w:sz w:val="20"/>
          <w:szCs w:val="20"/>
        </w:rPr>
        <w:t xml:space="preserve">Destinations: CRM enrichment (Salesforce), obligation tracking (Smartsheet), compliance registers, document archives (S3/GCS).</w:t>
      </w:r>
    </w:p>
    <w:p>
      <w:pPr>
        <w:pStyle w:val="Heading1"/>
        <w:spacing w:before="400" w:after="200"/>
      </w:pPr>
      <w:r>
        <w:rPr>
          <w:rFonts w:ascii="Arial" w:cs="Arial" w:eastAsia="Arial" w:hAnsi="Arial"/>
          <w:b/>
          <w:bCs/>
          <w:color w:val="1E2128"/>
          <w:sz w:val="32"/>
          <w:szCs w:val="32"/>
        </w:rPr>
        <w:t xml:space="preserve">Part 4: Format Alignment as Strategic Advantage</w:t>
      </w:r>
    </w:p>
    <w:p>
      <w:pPr>
        <w:spacing w:after="120"/>
      </w:pPr>
      <w:r>
        <w:rPr>
          <w:rFonts w:ascii="Arial" w:cs="Arial" w:eastAsia="Arial" w:hAnsi="Arial"/>
          <w:sz w:val="20"/>
          <w:szCs w:val="20"/>
        </w:rPr>
        <w:t xml:space="preserve">BlockData's output format choices are not just practical but create a strategic moat through near-zero-friction integration:</w:t>
      </w:r>
    </w:p>
    <w:p>
      <w:pPr>
        <w:spacing w:after="60"/>
      </w:pPr>
    </w:p>
    <w:p>
      <w:pPr>
        <w:spacing w:after="120"/>
      </w:pPr>
      <w:r>
        <w:rPr>
          <w:rFonts w:ascii="Arial" w:cs="Arial" w:eastAsia="Arial" w:hAnsi="Arial"/>
          <w:b/>
          <w:bCs/>
          <w:sz w:val="20"/>
          <w:szCs w:val="20"/>
        </w:rPr>
        <w:t xml:space="preserve">JSONL = NDJSON: </w:t>
      </w:r>
      <w:r>
        <w:rPr>
          <w:rFonts w:ascii="Arial" w:cs="Arial" w:eastAsia="Arial" w:hAnsi="Arial"/>
          <w:sz w:val="20"/>
          <w:szCs w:val="20"/>
        </w:rPr>
        <w:t xml:space="preserve">Elasticsearch, OpenSearch, Typesense bulk ingestion. Zero transformation.</w:t>
      </w:r>
    </w:p>
    <w:p>
      <w:pPr>
        <w:spacing w:after="120"/>
      </w:pPr>
      <w:r>
        <w:rPr>
          <w:rFonts w:ascii="Arial" w:cs="Arial" w:eastAsia="Arial" w:hAnsi="Arial"/>
          <w:b/>
          <w:bCs/>
          <w:sz w:val="20"/>
          <w:szCs w:val="20"/>
        </w:rPr>
        <w:t xml:space="preserve">JSONL = OpenAI format: </w:t>
      </w:r>
      <w:r>
        <w:rPr>
          <w:rFonts w:ascii="Arial" w:cs="Arial" w:eastAsia="Arial" w:hAnsi="Arial"/>
          <w:sz w:val="20"/>
          <w:szCs w:val="20"/>
        </w:rPr>
        <w:t xml:space="preserve">Direct fine-tuning pipeline from confirmed overlays to custom models.</w:t>
      </w:r>
    </w:p>
    <w:p>
      <w:pPr>
        <w:spacing w:after="120"/>
      </w:pPr>
      <w:r>
        <w:rPr>
          <w:rFonts w:ascii="Arial" w:cs="Arial" w:eastAsia="Arial" w:hAnsi="Arial"/>
          <w:b/>
          <w:bCs/>
          <w:sz w:val="20"/>
          <w:szCs w:val="20"/>
        </w:rPr>
        <w:t xml:space="preserve">JSONL = HuggingFace preferred: </w:t>
      </w:r>
      <w:r>
        <w:rPr>
          <w:rFonts w:ascii="Arial" w:cs="Arial" w:eastAsia="Arial" w:hAnsi="Arial"/>
          <w:sz w:val="20"/>
          <w:szCs w:val="20"/>
        </w:rPr>
        <w:t xml:space="preserve">Instant dataset publishing to the ML community.</w:t>
      </w:r>
    </w:p>
    <w:p>
      <w:pPr>
        <w:spacing w:after="120"/>
      </w:pPr>
      <w:r>
        <w:rPr>
          <w:rFonts w:ascii="Arial" w:cs="Arial" w:eastAsia="Arial" w:hAnsi="Arial"/>
          <w:b/>
          <w:bCs/>
          <w:sz w:val="20"/>
          <w:szCs w:val="20"/>
        </w:rPr>
        <w:t xml:space="preserve">JSONL = LangChain/LlamaIndex native: </w:t>
      </w:r>
      <w:r>
        <w:rPr>
          <w:rFonts w:ascii="Arial" w:cs="Arial" w:eastAsia="Arial" w:hAnsi="Arial"/>
          <w:sz w:val="20"/>
          <w:szCs w:val="20"/>
        </w:rPr>
        <w:t xml:space="preserve">Direct RAG integration with metadata filtering.</w:t>
      </w:r>
    </w:p>
    <w:p>
      <w:pPr>
        <w:spacing w:after="120"/>
      </w:pPr>
      <w:r>
        <w:rPr>
          <w:rFonts w:ascii="Arial" w:cs="Arial" w:eastAsia="Arial" w:hAnsi="Arial"/>
          <w:b/>
          <w:bCs/>
          <w:sz w:val="20"/>
          <w:szCs w:val="20"/>
        </w:rPr>
        <w:t xml:space="preserve">Parquet: </w:t>
      </w:r>
      <w:r>
        <w:rPr>
          <w:rFonts w:ascii="Arial" w:cs="Arial" w:eastAsia="Arial" w:hAnsi="Arial"/>
          <w:sz w:val="20"/>
          <w:szCs w:val="20"/>
        </w:rPr>
        <w:t xml:space="preserve">Every cloud warehouse (Snowflake, BigQuery, Databricks, Redshift), DuckDB, Spark, Delta Lake, Iceberg, Feast feature stores.</w:t>
      </w:r>
    </w:p>
    <w:p>
      <w:pPr>
        <w:spacing w:after="120"/>
      </w:pPr>
      <w:r>
        <w:rPr>
          <w:rFonts w:ascii="Arial" w:cs="Arial" w:eastAsia="Arial" w:hAnsi="Arial"/>
          <w:b/>
          <w:bCs/>
          <w:sz w:val="20"/>
          <w:szCs w:val="20"/>
        </w:rPr>
        <w:t xml:space="preserve">CSV: </w:t>
      </w:r>
      <w:r>
        <w:rPr>
          <w:rFonts w:ascii="Arial" w:cs="Arial" w:eastAsia="Arial" w:hAnsi="Arial"/>
          <w:sz w:val="20"/>
          <w:szCs w:val="20"/>
        </w:rPr>
        <w:t xml:space="preserve">Universal fallback. Every CRM, PM tool, spreadsheet, BI platform, and compliance system.</w:t>
      </w:r>
    </w:p>
    <w:p>
      <w:pPr>
        <w:pStyle w:val="Heading1"/>
        <w:spacing w:before="400" w:after="200"/>
      </w:pPr>
      <w:r>
        <w:rPr>
          <w:rFonts w:ascii="Arial" w:cs="Arial" w:eastAsia="Arial" w:hAnsi="Arial"/>
          <w:b/>
          <w:bCs/>
          <w:color w:val="1E2128"/>
          <w:sz w:val="32"/>
          <w:szCs w:val="32"/>
        </w:rPr>
        <w:t xml:space="preserve">Part 5: Frontier Integrations</w:t>
      </w:r>
    </w:p>
    <w:p>
      <w:pPr>
        <w:spacing w:after="120"/>
      </w:pPr>
      <w:r>
        <w:rPr>
          <w:rFonts w:ascii="Arial" w:cs="Arial" w:eastAsia="Arial" w:hAnsi="Arial"/>
          <w:sz w:val="20"/>
          <w:szCs w:val="20"/>
        </w:rPr>
        <w:t xml:space="preserve">Five emerging integration categories could reshape document intelligence:</w:t>
      </w:r>
    </w:p>
    <w:p>
      <w:pPr>
        <w:spacing w:after="60"/>
      </w:pPr>
    </w:p>
    <w:p>
      <w:pPr>
        <w:spacing w:after="120"/>
      </w:pPr>
      <w:r>
        <w:rPr>
          <w:rFonts w:ascii="Arial" w:cs="Arial" w:eastAsia="Arial" w:hAnsi="Arial"/>
          <w:b/>
          <w:bCs/>
          <w:sz w:val="20"/>
          <w:szCs w:val="20"/>
        </w:rPr>
        <w:t xml:space="preserve">AI Agent Frameworks: </w:t>
      </w:r>
      <w:r>
        <w:rPr>
          <w:rFonts w:ascii="Arial" w:cs="Arial" w:eastAsia="Arial" w:hAnsi="Arial"/>
          <w:sz w:val="20"/>
          <w:szCs w:val="20"/>
        </w:rPr>
        <w:t xml:space="preserve">LangGraph, CrewAI, and Microsoft Agent Framework can invoke BlockData as a tool. Autonomous agents dynamically process documents mid-workflow, then reason over structured extractions.</w:t>
      </w:r>
    </w:p>
    <w:p>
      <w:pPr>
        <w:spacing w:after="120"/>
      </w:pPr>
      <w:r>
        <w:rPr>
          <w:rFonts w:ascii="Arial" w:cs="Arial" w:eastAsia="Arial" w:hAnsi="Arial"/>
          <w:b/>
          <w:bCs/>
          <w:sz w:val="20"/>
          <w:szCs w:val="20"/>
        </w:rPr>
        <w:t xml:space="preserve">Feature Stores: </w:t>
      </w:r>
      <w:r>
        <w:rPr>
          <w:rFonts w:ascii="Arial" w:cs="Arial" w:eastAsia="Arial" w:hAnsi="Arial"/>
          <w:sz w:val="20"/>
          <w:szCs w:val="20"/>
        </w:rPr>
        <w:t xml:space="preserve">Feast (Parquet as primary offline format) and Tecton create a direct pipeline from documents to ML features. Document-derived features are massively underused in ML models because extraction is hard.</w:t>
      </w:r>
    </w:p>
    <w:p>
      <w:pPr>
        <w:spacing w:after="120"/>
      </w:pPr>
      <w:r>
        <w:rPr>
          <w:rFonts w:ascii="Arial" w:cs="Arial" w:eastAsia="Arial" w:hAnsi="Arial"/>
          <w:b/>
          <w:bCs/>
          <w:sz w:val="20"/>
          <w:szCs w:val="20"/>
        </w:rPr>
        <w:t xml:space="preserve">Digital Twin Platforms: </w:t>
      </w:r>
      <w:r>
        <w:rPr>
          <w:rFonts w:ascii="Arial" w:cs="Arial" w:eastAsia="Arial" w:hAnsi="Arial"/>
          <w:sz w:val="20"/>
          <w:szCs w:val="20"/>
        </w:rPr>
        <w:t xml:space="preserve">Azure Digital Twins, IBM Maximo, and Bentley iTwin in a $24.5B market growing to $259B by 2032. Data-hungry for extraction from equipment manuals, inspection reports, and maintenance logs.</w:t>
      </w:r>
    </w:p>
    <w:p>
      <w:pPr>
        <w:spacing w:after="120"/>
      </w:pPr>
      <w:r>
        <w:rPr>
          <w:rFonts w:ascii="Arial" w:cs="Arial" w:eastAsia="Arial" w:hAnsi="Arial"/>
          <w:b/>
          <w:bCs/>
          <w:sz w:val="20"/>
          <w:szCs w:val="20"/>
        </w:rPr>
        <w:t xml:space="preserve">Data Quality Platforms: </w:t>
      </w:r>
      <w:r>
        <w:rPr>
          <w:rFonts w:ascii="Arial" w:cs="Arial" w:eastAsia="Arial" w:hAnsi="Arial"/>
          <w:sz w:val="20"/>
          <w:szCs w:val="20"/>
        </w:rPr>
        <w:t xml:space="preserve">Great Expectations and Soda validate extraction outputs before they reach downstream systems, enforcing quality gates for probabilistic AI extraction.</w:t>
      </w:r>
    </w:p>
    <w:p>
      <w:pPr>
        <w:spacing w:after="120"/>
      </w:pPr>
      <w:r>
        <w:rPr>
          <w:rFonts w:ascii="Arial" w:cs="Arial" w:eastAsia="Arial" w:hAnsi="Arial"/>
          <w:b/>
          <w:bCs/>
          <w:sz w:val="20"/>
          <w:szCs w:val="20"/>
        </w:rPr>
        <w:t xml:space="preserve">Webhook Relay Services: </w:t>
      </w:r>
      <w:r>
        <w:rPr>
          <w:rFonts w:ascii="Arial" w:cs="Arial" w:eastAsia="Arial" w:hAnsi="Arial"/>
          <w:sz w:val="20"/>
          <w:szCs w:val="20"/>
        </w:rPr>
        <w:t xml:space="preserve">Hookdeck and Svix enable fan-out of extraction events to multiple systems simultaneously with guaranteed delivery, retry logic, and dead-letter queues.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BlockData.run Integration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2128"/>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E212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E21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2026-02-11T13:43:48.559Z</dcterms:created>
  <dcterms:modified xsi:type="dcterms:W3CDTF">2026-02-11T13:43:48.560Z</dcterms:modified>
</cp:coreProperties>
</file>

<file path=docProps/custom.xml><?xml version="1.0" encoding="utf-8"?>
<Properties xmlns="http://schemas.openxmlformats.org/officeDocument/2006/custom-properties" xmlns:vt="http://schemas.openxmlformats.org/officeDocument/2006/docPropsVTypes"/>
</file>