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6"/>
        </w:rPr>
        <w:t>XHateExplain — Strengthened Results &amp; Discussion</w:t>
      </w:r>
    </w:p>
    <w:p>
      <w:pPr>
        <w:jc w:val="center"/>
      </w:pPr>
      <w:r>
        <w:rPr>
          <w:i/>
          <w:sz w:val="22"/>
        </w:rPr>
        <w:t>Statistical significance, robustness, and an honest negative result (no classifier retraining)</w:t>
      </w:r>
    </w:p>
    <w:p/>
    <w:p>
      <w:r>
        <w:rPr>
          <w:b w:val="0"/>
        </w:rPr>
        <w:t>This document supplements the main results report with three rigour-focused analyses requested for the paper: (1) bootstrap confidence intervals and paired significance tests on the explainability metrics, (2) a robustness sweep of the content-similarity graph over cosine thresholds, and (3) a training-free attempt to improve the weak 'offensive' class. No model was retrained; the analyses reuse the cached 300-post explainability subset, the saved per-token attributions, and encoder inference only.</w:t>
      </w:r>
    </w:p>
    <w:p>
      <w:pPr>
        <w:pStyle w:val="Heading1"/>
      </w:pPr>
      <w:r>
        <w:rPr>
          <w:color w:val="2C3E50"/>
        </w:rPr>
        <w:t>1. Explainability Quality with Confidence Intervals</w:t>
      </w:r>
    </w:p>
    <w:p>
      <w:r>
        <w:rPr>
          <w:b w:val="0"/>
        </w:rPr>
        <w:t>Each metric was recomputed to four decimal places and equipped with a 95% bootstrap confidence interval (10,000 resamples, fixed seed 42). Plausibility (IOU, token-F1) is measured over the 300 subset posts that carry a human rationale; faithfulness (AOPC) over all 300 posts.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728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Plausibility (IOU)</w:t>
            </w:r>
          </w:p>
        </w:tc>
        <w:tc>
          <w:tcPr>
            <w:tcW w:type="dxa" w:w="1728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Token-F1</w:t>
            </w:r>
          </w:p>
        </w:tc>
        <w:tc>
          <w:tcPr>
            <w:tcW w:type="dxa" w:w="1728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AOPC@5</w:t>
            </w:r>
          </w:p>
        </w:tc>
        <w:tc>
          <w:tcPr>
            <w:tcW w:type="dxa" w:w="1728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AOPC@10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SHAP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0.1783</w:t>
              <w:br/>
              <w:t>[0.1544, 0.2038]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0.2523</w:t>
              <w:br/>
              <w:t>[0.2207, 0.2835]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0.4670</w:t>
              <w:br/>
              <w:t>[0.4341, 0.4998]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0.4831</w:t>
              <w:br/>
              <w:t>[0.4473, 0.5188]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LIME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0.1730</w:t>
              <w:br/>
              <w:t>[0.1498, 0.1979]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0.2485</w:t>
              <w:br/>
              <w:t>[0.2186, 0.2789]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0.4340</w:t>
              <w:br/>
              <w:t>[0.3999, 0.4684]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0.4410</w:t>
              <w:br/>
              <w:t>[0.4031, 0.4780]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Attention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0.1863</w:t>
              <w:br/>
              <w:t>[0.1623, 0.2119]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0.2643</w:t>
              <w:br/>
              <w:t>[0.2334, 0.2955]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0.2906</w:t>
              <w:br/>
              <w:t>[0.2449, 0.3349]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0.3323</w:t>
              <w:br/>
              <w:t>[0.2853, 0.3776]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XHateExplain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0.1863</w:t>
              <w:br/>
              <w:t>[0.1609, 0.2120]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0.2625</w:t>
              <w:br/>
              <w:t>[0.2314, 0.2950]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0.4474</w:t>
              <w:br/>
              <w:t>[0.4132, 0.4814]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0.4569</w:t>
              <w:br/>
              <w:t>[0.4201, 0.4937]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Table A1 — Explainability metrics, mean with 95% bootstrap CI.</w:t>
      </w:r>
    </w:p>
    <w:p>
      <w:r>
        <w:rPr>
          <w:b/>
        </w:rPr>
        <w:t>Paired bootstrap significance tests.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Mean diff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95% CI of diff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type="dxa" w:w="1440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XHateExplain − Attention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IOU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+0.0000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[-0.0115, +0.0109]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0.9902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tie (n.s.)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XHateExplain − Attention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Token-F1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-0.0019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[-0.0157, +0.0116]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0.8032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tie (n.s.)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XHateExplain − SHAP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AOPC@5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-0.0196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[-0.0290, -0.0104]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XHateExplain − SHAP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AOPC@10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-0.0262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[-0.0367, -0.0165]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7"/>
              </w:rPr>
              <w:t>Attention − SHAP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AOPC@5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-0.1764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[-0.2043, -0.1495]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significant</w:t>
            </w:r>
          </w:p>
        </w:tc>
      </w:tr>
    </w:tbl>
    <w:p>
      <w:r>
        <w:rPr>
          <w:b w:val="0"/>
        </w:rPr>
      </w:r>
    </w:p>
    <w:p>
      <w:r>
        <w:rPr>
          <w:b/>
        </w:rPr>
        <w:t>Discussion.</w:t>
      </w:r>
    </w:p>
    <w:p>
      <w:r>
        <w:rPr>
          <w:b w:val="0"/>
        </w:rPr>
        <w:t>At four decimals the apparent IOU tie between Attention and XHateExplain is confirmed as a genuine dead heat: the paired difference is +0.0000 with a 95% CI of [-0.0115, +0.0109] and p=0.99, so XHateExplain does NOT have a real plausibility advantage over attention — they share the top plausibility. On faithfulness, XHateExplain is significantly below SHAP at both AOPC@5 (Δ=-0.0196, p&lt;0.001) and AOPC@10 (Δ=-0.0262, p&lt;0.001), but the gap is small (~0.02 absolute). By contrast attention sits far below SHAP on AOPC@5 (Δ=-0.1764, p&lt;0.001). The defensible claim for the paper is therefore one of balance, not dominance: SHAP is the most faithful single method and attention the least; attention and XHateExplain are the most plausible; and XHateExplain is the only method that is simultaneously top-tier on plausibility while retaining most of SHAP's faithfulness (AOPC@5 0.4474 vs SHAP 0.4670, well above attention's 0.2906).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690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2_explain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9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A1 — Explainability metrics with 95% bootstrap confidence intervals (regenerated).</w:t>
      </w:r>
    </w:p>
    <w:p>
      <w:pPr>
        <w:pStyle w:val="Heading1"/>
      </w:pPr>
      <w:r>
        <w:rPr>
          <w:color w:val="2C3E50"/>
        </w:rPr>
        <w:t>2. Content-Similarity Graph: Robustness and Reframing</w:t>
      </w:r>
    </w:p>
    <w:p>
      <w:r>
        <w:rPr>
          <w:b w:val="0"/>
        </w:rPr>
        <w:t>The post-similarity graph was rebuilt on the same 2,000-post sample at cosine thresholds 0.70, 0.80 and 0.85, and characterised by edge count, average degree, number of Louvain communities, modularity Q, and hate-ratio separation.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Cosine thr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Edges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Avg deg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#Comms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Modularity Q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Hate&gt;70%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Normal&lt;10%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0.7 (chosen)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224,081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224.1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0.5625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0.8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72,602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72.6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337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0.4605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269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33,316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33.3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864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0.3309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155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702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Table A2 — Threshold sweep of the content-similarity graph.</w:t>
      </w:r>
    </w:p>
    <w:p>
      <w:r>
        <w:rPr>
          <w:b/>
        </w:rPr>
        <w:t>Discussion.</w:t>
      </w:r>
    </w:p>
    <w:p>
      <w:r>
        <w:rPr>
          <w:b w:val="0"/>
        </w:rPr>
        <w:t>Contrary to the intuition that a sparser graph would yield cleaner communities, raising the threshold degrades the structure: modularity falls monotonically (Q: 0.5625 → 0.4605 → 0.3309) while the graph fragments into ever more, mostly singleton, communities (count: 26 → 337 → 864). The large numbers of 'pure' hate (&gt;70%) and normal (&lt;10%) communities at 0.80 and 0.85 are thus a fragmentation artifact — hundreds of tiny components that are trivially homogeneous — rather than evidence of better separation. The dense 0.70 graph is the only setting with a non-fragmented, modular community structure (Q=0.5625), and is retained as the operating point. The core qualitative finding is unchanged: hate-heavy mean sentiment -0.358 vs normal-heavy -0.220 (gap +0.138).</w:t>
      </w:r>
    </w:p>
    <w:p>
      <w:r>
        <w:rPr>
          <w:b w:val="0"/>
        </w:rPr>
        <w:t>Honest reframing. Because HateXplain contains no author identifiers, this module is best described as content-similarity clustering for hate-profile characterization, not social-network community detection. The data legitimately supports characterising what distinguishes hateful clusters — their LDA vocabulary, their markedly more negative VADER sentiment, and their dense intra-cluster similarity — but it does not support claims about real user communities, social ties, or information flow, and the paper will state this limitation explicitly.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39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_graph_b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A2 — Content-similarity graph at the chosen cosine threshold 0.7, nodes coloured by community hate ratio.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39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_graph_0.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A3 — The same data at cosine ≥ 0.85, illustrating fragmentation into many small components (lower modularity).</w:t>
      </w:r>
    </w:p>
    <w:p>
      <w:pPr>
        <w:pStyle w:val="Heading1"/>
      </w:pPr>
      <w:r>
        <w:rPr>
          <w:color w:val="2C3E50"/>
        </w:rPr>
        <w:t>3. Offensive-Class Calibration (Training-Free) — Negative Result</w:t>
      </w:r>
    </w:p>
    <w:p>
      <w:r>
        <w:rPr>
          <w:b w:val="0"/>
        </w:rPr>
        <w:t>The 'offensive' class is the weakest (F1 ≈ 0.54). Without retraining, we applied posterior re-weighting: class weights were tuned on the validation set to maximise macro-F1, then applied to the test posteriors. Two schemes are reported — parameter-free inverse-frequency weights, and the validation-tuned grid optimum.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Scheme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Weights (h,o,n)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Macro-F1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Off-F1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Hate-F1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Norm-F1</w:t>
            </w:r>
          </w:p>
        </w:tc>
        <w:tc>
          <w:tcPr>
            <w:tcW w:type="dxa" w:w="1234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Acc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Baseline (uncalibrated)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(1, 1, 1)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0.6831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0.5392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0.7671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0.7431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0.6932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Inverse-frequency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(1.081, 1.17, 0.82)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0.6811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0.5536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0.7592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0.7304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0.6849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7"/>
              </w:rPr>
              <w:t>Val-tuned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(1.0, 1.8, 2.0)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0.6828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0.5534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0.7491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0.7460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0.6906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Table A3 — Posterior re-weighting on the test set (no retraining).</w:t>
      </w:r>
    </w:p>
    <w:p>
      <w:r>
        <w:rPr>
          <w:b/>
        </w:rPr>
        <w:t>Discussion.</w:t>
      </w:r>
    </w:p>
    <w:p>
      <w:r>
        <w:rPr>
          <w:b w:val="0"/>
        </w:rPr>
        <w:t>This is a negative result and is reported as such. Validation macro-F1 rises to 0.7017 under the tuned weights, but the improvement does not transfer to the test set: test macro-F1 moves by only -0.0003 (0.6831 → 0.6828), i.e. essentially flat. Offensive-F1 does rise (+0.0141, 0.5392 → 0.5534), but only by trading away hate-F1 (0.7671 → 0.7491); the macro average is therefore unchanged, and AUC is invariant because re-weighting does not change the ranking. The conclusion is that cheap, training-free calibration cannot fix the offensive class without harming another, and a proper remedy — class-weighted or focal-loss re-training, or richer linguistic features — is left as future work.</w:t>
      </w:r>
    </w:p>
    <w:p>
      <w:pPr>
        <w:pStyle w:val="Heading1"/>
      </w:pPr>
      <w:r>
        <w:rPr>
          <w:color w:val="2C3E50"/>
        </w:rPr>
        <w:t>4. Artifacts</w:t>
      </w:r>
    </w:p>
    <w:p>
      <w:r>
        <w:rPr>
          <w:b w:val="0"/>
        </w:rPr>
        <w:t>All numbers above are read directly from the following saved files; the analyses are reproducible via step9/step10/step11.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  <w:sz w:val="17"/>
              </w:rPr>
              <w:t>Outputs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step9_explain_ci.py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explainability_ci.json, table2_explainability_ci.csv, figures/table2_explainability.png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step10_community_sweep.py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community_threshold_sweep.csv, community_sweep_summary.json, community_profiles.csv, community_meta.json, figures/community_graph_{0.85,best}.png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step11_offensive_calibration.py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bert_metrics_weighted.json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7"/>
              </w:rPr>
              <w:t>make_paper_updates.py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PAPER_UPDATES.md (consolidated summary)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