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XHateExplain — Reviewer Result</w:t>
      </w:r>
    </w:p>
    <w:p>
      <w:pPr>
        <w:jc w:val="center"/>
      </w:pPr>
      <w:r>
        <w:rPr>
          <w:i/>
          <w:sz w:val="24"/>
        </w:rPr>
        <w:t>Detailed report of every revision experiment:</w:t>
        <w:br/>
        <w:t>what we did, why we did it, what happened, and what result we got</w:t>
      </w:r>
    </w:p>
    <w:p>
      <w:pPr>
        <w:jc w:val="center"/>
      </w:pPr>
      <w:r>
        <w:rPr>
          <w:sz w:val="18"/>
        </w:rPr>
        <w:t>Each section = Kya kiya (What) · Kyu kiya (Why) · Kya hua (How) · Kya result mila (Result), with a results table and a graph.</w:t>
      </w:r>
    </w:p>
    <w:p/>
    <w:p>
      <w:pPr>
        <w:pStyle w:val="Heading2"/>
      </w:pPr>
      <w:r>
        <w:rPr>
          <w:color w:val="1F3A5F"/>
        </w:rPr>
        <w:t>How to read this document</w:t>
      </w:r>
    </w:p>
    <w:p>
      <w:r>
        <w:rPr>
          <w:b w:val="0"/>
          <w:i w:val="0"/>
        </w:rPr>
        <w:t>Two quality axes are used throughout for the explanation methods:</w:t>
      </w:r>
    </w:p>
    <w:p>
      <w:pPr>
        <w:pStyle w:val="ListBullet"/>
      </w:pPr>
      <w:r>
        <w:rPr>
          <w:b/>
        </w:rPr>
        <w:t xml:space="preserve">Plausibility </w:t>
      </w:r>
      <w:r>
        <w:t>is whether a method highlights the SAME words a human marked as hateful. Measured by IOU (overlap) and Token-F1. Higher = matches humans better.</w:t>
      </w:r>
    </w:p>
    <w:p>
      <w:pPr>
        <w:pStyle w:val="ListBullet"/>
      </w:pPr>
      <w:r>
        <w:rPr>
          <w:b/>
        </w:rPr>
        <w:t xml:space="preserve">Faithfulness </w:t>
      </w:r>
      <w:r>
        <w:t>is whether the highlighted words ACTUALLY drive the model's decision. Measured by AOPC (probability drop when top words are removed). Higher = more honest explanation.</w:t>
      </w:r>
    </w:p>
    <w:p>
      <w:r>
        <w:rPr>
          <w:b w:val="0"/>
          <w:i/>
          <w:sz w:val="18"/>
        </w:rPr>
        <w:t>All confidence intervals are 95% bootstrap (10,000 resamples, fixed seed 42). 'Significant' means the difference's 95% CI excludes zero.</w:t>
      </w:r>
    </w:p>
    <w:p>
      <w:pPr>
        <w:pStyle w:val="Heading1"/>
      </w:pPr>
      <w:r>
        <w:rPr>
          <w:color w:val="1F3A5F"/>
        </w:rPr>
        <w:t>Experiment 1 — Fusion Ablation: is there a better way to combine SHAP + LIME + Attention?</w:t>
      </w:r>
    </w:p>
    <w:p>
      <w:r>
        <w:rPr>
          <w:b/>
          <w:color w:val="1F3A5F"/>
        </w:rPr>
        <w:t xml:space="preserve">Kya kiya (What we did): </w:t>
      </w:r>
      <w:r>
        <w:t>We built four ways of fusing the three explainers' per-word scores — (1) mean_minmax (our current method), (2) mean_zscore, (3) rank_fusion (reciprocal-rank), and (4) learned_linear (weights learned by 5-fold cross-validation). Each was scored on the same 300 posts with bootstrap CIs, using the CACHED attributions (no recomputation, no retraining).</w:t>
      </w:r>
    </w:p>
    <w:p>
      <w:r>
        <w:rPr>
          <w:b/>
          <w:color w:val="1F3A5F"/>
        </w:rPr>
        <w:t xml:space="preserve">Kyu kiya (Why we did it): </w:t>
      </w:r>
      <w:r>
        <w:t>A reviewer argued the unweighted mean has 'no principled justification and may be tied or worse than its parts.' We had to test whether a smarter fusion genuinely beats the simple mean, and explain WHY the combined method ties attention on plausibility.</w:t>
      </w:r>
    </w:p>
    <w:p>
      <w:r>
        <w:rPr>
          <w:b/>
          <w:color w:val="1F3A5F"/>
        </w:rPr>
        <w:t xml:space="preserve">Kya hua (How it went): </w:t>
      </w:r>
      <w:r>
        <w:t>All four variants ran successfully. We also measured each method's post-normalisation 'L1 mass' to test the reviewer's idea that attention dominates the average.</w:t>
      </w:r>
    </w:p>
    <w:p>
      <w:r>
        <w:rPr>
          <w:b/>
          <w:i w:val="0"/>
        </w:rPr>
        <w:t>Results table — fusion variants (mean with 95% CI):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a5f"/>
          </w:tcPr>
          <w:p>
            <w:pPr>
              <w:jc w:val="center"/>
            </w:pPr>
            <w:r>
              <w:rPr>
                <w:b/>
                <w:color w:val="FFFFFF"/>
                <w:sz w:val="17"/>
              </w:rPr>
              <w:t>Fusion variant</w:t>
            </w:r>
          </w:p>
        </w:tc>
        <w:tc>
          <w:tcPr>
            <w:tcW w:type="dxa" w:w="1728"/>
            <w:shd w:val="clear" w:color="auto" w:fill="1f3a5f"/>
          </w:tcPr>
          <w:p>
            <w:pPr>
              <w:jc w:val="center"/>
            </w:pPr>
            <w:r>
              <w:rPr>
                <w:b/>
                <w:color w:val="FFFFFF"/>
                <w:sz w:val="17"/>
              </w:rPr>
              <w:t>IOU (plaus.)</w:t>
            </w:r>
          </w:p>
        </w:tc>
        <w:tc>
          <w:tcPr>
            <w:tcW w:type="dxa" w:w="1728"/>
            <w:shd w:val="clear" w:color="auto" w:fill="1f3a5f"/>
          </w:tcPr>
          <w:p>
            <w:pPr>
              <w:jc w:val="center"/>
            </w:pPr>
            <w:r>
              <w:rPr>
                <w:b/>
                <w:color w:val="FFFFFF"/>
                <w:sz w:val="17"/>
              </w:rPr>
              <w:t>Token-F1</w:t>
            </w:r>
          </w:p>
        </w:tc>
        <w:tc>
          <w:tcPr>
            <w:tcW w:type="dxa" w:w="1728"/>
            <w:shd w:val="clear" w:color="auto" w:fill="1f3a5f"/>
          </w:tcPr>
          <w:p>
            <w:pPr>
              <w:jc w:val="center"/>
            </w:pPr>
            <w:r>
              <w:rPr>
                <w:b/>
                <w:color w:val="FFFFFF"/>
                <w:sz w:val="17"/>
              </w:rPr>
              <w:t>AOPC@5 (faith.)</w:t>
            </w:r>
          </w:p>
        </w:tc>
        <w:tc>
          <w:tcPr>
            <w:tcW w:type="dxa" w:w="1728"/>
            <w:shd w:val="clear" w:color="auto" w:fill="1f3a5f"/>
          </w:tcPr>
          <w:p>
            <w:pPr>
              <w:jc w:val="center"/>
            </w:pPr>
            <w:r>
              <w:rPr>
                <w:b/>
                <w:color w:val="FFFFFF"/>
                <w:sz w:val="17"/>
              </w:rPr>
              <w:t>AOPC@10</w:t>
            </w:r>
          </w:p>
        </w:tc>
      </w:tr>
      <w:tr>
        <w:tc>
          <w:tcPr>
            <w:tcW w:type="dxa" w:w="1728"/>
          </w:tcPr>
          <w:p>
            <w:pPr>
              <w:jc w:val="center"/>
            </w:pPr>
            <w:r>
              <w:rPr>
                <w:b/>
                <w:sz w:val="17"/>
              </w:rPr>
              <w:t>mean_minmax</w:t>
            </w:r>
          </w:p>
        </w:tc>
        <w:tc>
          <w:tcPr>
            <w:tcW w:type="dxa" w:w="1728"/>
          </w:tcPr>
          <w:p>
            <w:pPr>
              <w:jc w:val="center"/>
            </w:pPr>
            <w:r>
              <w:rPr>
                <w:sz w:val="17"/>
              </w:rPr>
              <w:t>0.1863</w:t>
              <w:br/>
              <w:t>[0.1615, 0.2119]</w:t>
            </w:r>
          </w:p>
        </w:tc>
        <w:tc>
          <w:tcPr>
            <w:tcW w:type="dxa" w:w="1728"/>
          </w:tcPr>
          <w:p>
            <w:pPr>
              <w:jc w:val="center"/>
            </w:pPr>
            <w:r>
              <w:rPr>
                <w:sz w:val="17"/>
              </w:rPr>
              <w:t>0.2625</w:t>
              <w:br/>
              <w:t>[0.2308, 0.2942]</w:t>
            </w:r>
          </w:p>
        </w:tc>
        <w:tc>
          <w:tcPr>
            <w:tcW w:type="dxa" w:w="1728"/>
          </w:tcPr>
          <w:p>
            <w:pPr>
              <w:jc w:val="center"/>
            </w:pPr>
            <w:r>
              <w:rPr>
                <w:sz w:val="17"/>
              </w:rPr>
              <w:t>0.4474</w:t>
              <w:br/>
              <w:t>[0.4134, 0.4809]</w:t>
            </w:r>
          </w:p>
        </w:tc>
        <w:tc>
          <w:tcPr>
            <w:tcW w:type="dxa" w:w="1728"/>
          </w:tcPr>
          <w:p>
            <w:pPr>
              <w:jc w:val="center"/>
            </w:pPr>
            <w:r>
              <w:rPr>
                <w:sz w:val="17"/>
              </w:rPr>
              <w:t>0.4569</w:t>
              <w:br/>
              <w:t>[0.4195, 0.4943]</w:t>
            </w:r>
          </w:p>
        </w:tc>
      </w:tr>
      <w:tr>
        <w:tc>
          <w:tcPr>
            <w:tcW w:type="dxa" w:w="1728"/>
            <w:shd w:val="clear" w:color="auto" w:fill="e8f4ea"/>
          </w:tcPr>
          <w:p>
            <w:pPr>
              <w:jc w:val="center"/>
            </w:pPr>
            <w:r>
              <w:rPr>
                <w:b/>
                <w:sz w:val="17"/>
              </w:rPr>
              <w:t>mean_zscore</w:t>
            </w:r>
          </w:p>
        </w:tc>
        <w:tc>
          <w:tcPr>
            <w:tcW w:type="dxa" w:w="1728"/>
            <w:shd w:val="clear" w:color="auto" w:fill="e8f4ea"/>
          </w:tcPr>
          <w:p>
            <w:pPr>
              <w:jc w:val="center"/>
            </w:pPr>
            <w:r>
              <w:rPr>
                <w:sz w:val="17"/>
              </w:rPr>
              <w:t>0.1865</w:t>
              <w:br/>
              <w:t>[0.1622, 0.2128]</w:t>
            </w:r>
          </w:p>
        </w:tc>
        <w:tc>
          <w:tcPr>
            <w:tcW w:type="dxa" w:w="1728"/>
            <w:shd w:val="clear" w:color="auto" w:fill="e8f4ea"/>
          </w:tcPr>
          <w:p>
            <w:pPr>
              <w:jc w:val="center"/>
            </w:pPr>
            <w:r>
              <w:rPr>
                <w:sz w:val="17"/>
              </w:rPr>
              <w:t>0.2626</w:t>
              <w:br/>
              <w:t>[0.2315, 0.2948]</w:t>
            </w:r>
          </w:p>
        </w:tc>
        <w:tc>
          <w:tcPr>
            <w:tcW w:type="dxa" w:w="1728"/>
            <w:shd w:val="clear" w:color="auto" w:fill="e8f4ea"/>
          </w:tcPr>
          <w:p>
            <w:pPr>
              <w:jc w:val="center"/>
            </w:pPr>
            <w:r>
              <w:rPr>
                <w:sz w:val="17"/>
              </w:rPr>
              <w:t>0.4525</w:t>
              <w:br/>
              <w:t>[0.4185, 0.4865]</w:t>
            </w:r>
          </w:p>
        </w:tc>
        <w:tc>
          <w:tcPr>
            <w:tcW w:type="dxa" w:w="1728"/>
            <w:shd w:val="clear" w:color="auto" w:fill="e8f4ea"/>
          </w:tcPr>
          <w:p>
            <w:pPr>
              <w:jc w:val="center"/>
            </w:pPr>
            <w:r>
              <w:rPr>
                <w:sz w:val="17"/>
              </w:rPr>
              <w:t>0.4650</w:t>
              <w:br/>
              <w:t>[0.4272, 0.5014]</w:t>
            </w:r>
          </w:p>
        </w:tc>
      </w:tr>
      <w:tr>
        <w:tc>
          <w:tcPr>
            <w:tcW w:type="dxa" w:w="1728"/>
          </w:tcPr>
          <w:p>
            <w:pPr>
              <w:jc w:val="center"/>
            </w:pPr>
            <w:r>
              <w:rPr>
                <w:b/>
                <w:sz w:val="17"/>
              </w:rPr>
              <w:t>rank_fusion</w:t>
            </w:r>
          </w:p>
        </w:tc>
        <w:tc>
          <w:tcPr>
            <w:tcW w:type="dxa" w:w="1728"/>
          </w:tcPr>
          <w:p>
            <w:pPr>
              <w:jc w:val="center"/>
            </w:pPr>
            <w:r>
              <w:rPr>
                <w:sz w:val="17"/>
              </w:rPr>
              <w:t>0.1806</w:t>
              <w:br/>
              <w:t>[0.1561, 0.2057]</w:t>
            </w:r>
          </w:p>
        </w:tc>
        <w:tc>
          <w:tcPr>
            <w:tcW w:type="dxa" w:w="1728"/>
          </w:tcPr>
          <w:p>
            <w:pPr>
              <w:jc w:val="center"/>
            </w:pPr>
            <w:r>
              <w:rPr>
                <w:sz w:val="17"/>
              </w:rPr>
              <w:t>0.2568</w:t>
              <w:br/>
              <w:t>[0.2265, 0.2876]</w:t>
            </w:r>
          </w:p>
        </w:tc>
        <w:tc>
          <w:tcPr>
            <w:tcW w:type="dxa" w:w="1728"/>
          </w:tcPr>
          <w:p>
            <w:pPr>
              <w:jc w:val="center"/>
            </w:pPr>
            <w:r>
              <w:rPr>
                <w:sz w:val="17"/>
              </w:rPr>
              <w:t>0.4544</w:t>
              <w:br/>
              <w:t>[0.4193, 0.4881]</w:t>
            </w:r>
          </w:p>
        </w:tc>
        <w:tc>
          <w:tcPr>
            <w:tcW w:type="dxa" w:w="1728"/>
          </w:tcPr>
          <w:p>
            <w:pPr>
              <w:jc w:val="center"/>
            </w:pPr>
            <w:r>
              <w:rPr>
                <w:sz w:val="17"/>
              </w:rPr>
              <w:t>0.4672</w:t>
              <w:br/>
              <w:t>[0.4297, 0.5037]</w:t>
            </w:r>
          </w:p>
        </w:tc>
      </w:tr>
      <w:tr>
        <w:tc>
          <w:tcPr>
            <w:tcW w:type="dxa" w:w="1728"/>
            <w:shd w:val="clear" w:color="auto" w:fill="fdecea"/>
          </w:tcPr>
          <w:p>
            <w:pPr>
              <w:jc w:val="center"/>
            </w:pPr>
            <w:r>
              <w:rPr>
                <w:b/>
                <w:sz w:val="17"/>
              </w:rPr>
              <w:t>learned_linear</w:t>
            </w:r>
          </w:p>
        </w:tc>
        <w:tc>
          <w:tcPr>
            <w:tcW w:type="dxa" w:w="1728"/>
            <w:shd w:val="clear" w:color="auto" w:fill="fdecea"/>
          </w:tcPr>
          <w:p>
            <w:pPr>
              <w:jc w:val="center"/>
            </w:pPr>
            <w:r>
              <w:rPr>
                <w:sz w:val="17"/>
              </w:rPr>
              <w:t>0.1933</w:t>
              <w:br/>
              <w:t>[0.1680, 0.2187]</w:t>
            </w:r>
          </w:p>
        </w:tc>
        <w:tc>
          <w:tcPr>
            <w:tcW w:type="dxa" w:w="1728"/>
            <w:shd w:val="clear" w:color="auto" w:fill="fdecea"/>
          </w:tcPr>
          <w:p>
            <w:pPr>
              <w:jc w:val="center"/>
            </w:pPr>
            <w:r>
              <w:rPr>
                <w:sz w:val="17"/>
              </w:rPr>
              <w:t>0.2735</w:t>
              <w:br/>
              <w:t>[0.2424, 0.3056]</w:t>
            </w:r>
          </w:p>
        </w:tc>
        <w:tc>
          <w:tcPr>
            <w:tcW w:type="dxa" w:w="1728"/>
            <w:shd w:val="clear" w:color="auto" w:fill="fdecea"/>
          </w:tcPr>
          <w:p>
            <w:pPr>
              <w:jc w:val="center"/>
            </w:pPr>
            <w:r>
              <w:rPr>
                <w:sz w:val="17"/>
              </w:rPr>
              <w:t>0.3303</w:t>
              <w:br/>
              <w:t>[0.2859, 0.3741]</w:t>
            </w:r>
          </w:p>
        </w:tc>
        <w:tc>
          <w:tcPr>
            <w:tcW w:type="dxa" w:w="1728"/>
            <w:shd w:val="clear" w:color="auto" w:fill="fdecea"/>
          </w:tcPr>
          <w:p>
            <w:pPr>
              <w:jc w:val="center"/>
            </w:pPr>
            <w:r>
              <w:rPr>
                <w:sz w:val="17"/>
              </w:rPr>
              <w:t>0.3597</w:t>
              <w:br/>
              <w:t>[0.3153, 0.4046]</w:t>
            </w:r>
          </w:p>
        </w:tc>
      </w:tr>
    </w:tbl>
    <w:p>
      <w:r>
        <w:rPr>
          <w:b w:val="0"/>
          <w:i/>
          <w:sz w:val="17"/>
        </w:rPr>
        <w:t>Green = recommended upgrade (mean_zscore); Pink = best plausibility but weak faithfulness (learned_linear).</w:t>
      </w:r>
    </w:p>
    <w:p>
      <w:r>
        <w:rPr>
          <w:b w:val="0"/>
          <w:i w:val="0"/>
        </w:rPr>
      </w:r>
    </w:p>
    <w:p>
      <w:r>
        <w:rPr>
          <w:b/>
          <w:i w:val="0"/>
        </w:rPr>
        <w:t>Two diagnostic findings:</w:t>
      </w:r>
    </w:p>
    <w:p>
      <w:pPr>
        <w:pStyle w:val="ListBullet"/>
      </w:pPr>
      <w:r>
        <w:rPr>
          <w:b/>
        </w:rPr>
        <w:t xml:space="preserve">Learned weights: </w:t>
      </w:r>
      <w:r>
        <w:t>SHAP=0.18, LIME=0.1, Attention=0.72. The data 'wants' attention most for matching humans.</w:t>
      </w:r>
    </w:p>
    <w:p>
      <w:pPr>
        <w:pStyle w:val="ListBullet"/>
      </w:pPr>
      <w:r>
        <w:rPr>
          <w:b/>
        </w:rPr>
        <w:t xml:space="preserve">L1 mass after min-max: </w:t>
      </w:r>
      <w:r>
        <w:t>SHAP=8.4636, LIME=7.4995, Attention=5.1165. The reviewer's hypothesis was WRONG — SHAP (not attention) has the largest mass, so attention does not dominate the unweighted mean.</w:t>
      </w:r>
    </w:p>
    <w:p>
      <w:pPr>
        <w:jc w:val="center"/>
      </w:pPr>
      <w:r>
        <w:drawing>
          <wp:inline xmlns:a="http://schemas.openxmlformats.org/drawingml/2006/main" xmlns:pic="http://schemas.openxmlformats.org/drawingml/2006/picture">
            <wp:extent cx="5760720" cy="1547385"/>
            <wp:docPr id="1" name="Picture 1"/>
            <wp:cNvGraphicFramePr>
              <a:graphicFrameLocks noChangeAspect="1"/>
            </wp:cNvGraphicFramePr>
            <a:graphic>
              <a:graphicData uri="http://schemas.openxmlformats.org/drawingml/2006/picture">
                <pic:pic>
                  <pic:nvPicPr>
                    <pic:cNvPr id="0" name="fusion_ablation.png"/>
                    <pic:cNvPicPr/>
                  </pic:nvPicPr>
                  <pic:blipFill>
                    <a:blip r:embed="rId9"/>
                    <a:stretch>
                      <a:fillRect/>
                    </a:stretch>
                  </pic:blipFill>
                  <pic:spPr>
                    <a:xfrm>
                      <a:off x="0" y="0"/>
                      <a:ext cx="5760720" cy="1547385"/>
                    </a:xfrm>
                    <a:prstGeom prst="rect"/>
                  </pic:spPr>
                </pic:pic>
              </a:graphicData>
            </a:graphic>
          </wp:inline>
        </w:drawing>
      </w:r>
    </w:p>
    <w:p>
      <w:pPr>
        <w:jc w:val="center"/>
      </w:pPr>
      <w:r>
        <w:rPr>
          <w:i/>
          <w:color w:val="1F3A5F"/>
          <w:sz w:val="18"/>
        </w:rPr>
        <w:t>Graph (Exp 1) — Four fusion variants across the four metrics, bars = mean, whiskers = 95% CI. learned_linear wins plausibility (IOU/Token-F1) but its faithfulness (AOPC) bars drop sharply.</w:t>
      </w:r>
    </w:p>
    <w:p>
      <w:r>
        <w:rPr>
          <w:b/>
          <w:color w:val="1E8449"/>
        </w:rPr>
        <w:t xml:space="preserve">Kya result mila (Result): </w:t>
      </w:r>
      <w:r>
        <w:t>No fusion beats the simple mean on BOTH axes at once. mean_zscore is significantly MORE faithful than the current mean_minmax (AOPC@5: +0.0051, p=0.016) at identical plausibility — a free, principled upgrade. learned_linear raises plausibility significantly but its faithfulness collapses (AOPC@5 0.33). Conclusion for the paper: the simple mean is defensible as 'no worse', and we recommend switching the default to mean_zscore.</w:t>
      </w:r>
    </w:p>
    <w:p>
      <w:pPr>
        <w:pStyle w:val="Heading1"/>
      </w:pPr>
      <w:r>
        <w:rPr>
          <w:color w:val="1F3A5F"/>
        </w:rPr>
        <w:t>Experiment 2a — Larger evaluation: is n = 300 enough?</w:t>
      </w:r>
    </w:p>
    <w:p>
      <w:r>
        <w:rPr>
          <w:b/>
          <w:color w:val="1F3A5F"/>
        </w:rPr>
        <w:t xml:space="preserve">Kya kiya: </w:t>
      </w:r>
      <w:r>
        <w:t>We re-ran all explanation metrics on EVERY test post that has a human rationale — n = 1141 posts (vs the earlier 300) — reusing 177 cached attributions and computing the remaining 964 fresh.</w:t>
      </w:r>
    </w:p>
    <w:p>
      <w:r>
        <w:rPr>
          <w:b/>
          <w:color w:val="1F3A5F"/>
        </w:rPr>
        <w:t xml:space="preserve">Kyu kiya: </w:t>
      </w:r>
      <w:r>
        <w:t>Reviewer: 'n=300 is too small to trust the confidence intervals.' A ~4x larger sample tightens every interval and tests whether the conclusions survive.</w:t>
      </w:r>
    </w:p>
    <w:p>
      <w:r>
        <w:rPr>
          <w:b/>
          <w:color w:val="1F3A5F"/>
        </w:rPr>
        <w:t xml:space="preserve">Kya hua: </w:t>
      </w:r>
      <w:r>
        <w:t>All six methods (3 base + 3 fusions) scored cleanly on 1,141 posts; CIs shrank ~3x.</w:t>
      </w:r>
    </w:p>
    <w:p>
      <w:r>
        <w:rPr>
          <w:b/>
          <w:i w:val="0"/>
        </w:rPr>
        <w:t>Results table — larger-n explainability (n = 1141, 95% CI):</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a5f"/>
          </w:tcPr>
          <w:p>
            <w:pPr>
              <w:jc w:val="center"/>
            </w:pPr>
            <w:r>
              <w:rPr>
                <w:b/>
                <w:color w:val="FFFFFF"/>
                <w:sz w:val="17"/>
              </w:rPr>
              <w:t>Method</w:t>
            </w:r>
          </w:p>
        </w:tc>
        <w:tc>
          <w:tcPr>
            <w:tcW w:type="dxa" w:w="1728"/>
            <w:shd w:val="clear" w:color="auto" w:fill="1f3a5f"/>
          </w:tcPr>
          <w:p>
            <w:pPr>
              <w:jc w:val="center"/>
            </w:pPr>
            <w:r>
              <w:rPr>
                <w:b/>
                <w:color w:val="FFFFFF"/>
                <w:sz w:val="17"/>
              </w:rPr>
              <w:t>IOU</w:t>
            </w:r>
          </w:p>
        </w:tc>
        <w:tc>
          <w:tcPr>
            <w:tcW w:type="dxa" w:w="1728"/>
            <w:shd w:val="clear" w:color="auto" w:fill="1f3a5f"/>
          </w:tcPr>
          <w:p>
            <w:pPr>
              <w:jc w:val="center"/>
            </w:pPr>
            <w:r>
              <w:rPr>
                <w:b/>
                <w:color w:val="FFFFFF"/>
                <w:sz w:val="17"/>
              </w:rPr>
              <w:t>Token-F1</w:t>
            </w:r>
          </w:p>
        </w:tc>
        <w:tc>
          <w:tcPr>
            <w:tcW w:type="dxa" w:w="1728"/>
            <w:shd w:val="clear" w:color="auto" w:fill="1f3a5f"/>
          </w:tcPr>
          <w:p>
            <w:pPr>
              <w:jc w:val="center"/>
            </w:pPr>
            <w:r>
              <w:rPr>
                <w:b/>
                <w:color w:val="FFFFFF"/>
                <w:sz w:val="17"/>
              </w:rPr>
              <w:t>AOPC@5</w:t>
            </w:r>
          </w:p>
        </w:tc>
        <w:tc>
          <w:tcPr>
            <w:tcW w:type="dxa" w:w="1728"/>
            <w:shd w:val="clear" w:color="auto" w:fill="1f3a5f"/>
          </w:tcPr>
          <w:p>
            <w:pPr>
              <w:jc w:val="center"/>
            </w:pPr>
            <w:r>
              <w:rPr>
                <w:b/>
                <w:color w:val="FFFFFF"/>
                <w:sz w:val="17"/>
              </w:rPr>
              <w:t>AOPC@10</w:t>
            </w:r>
          </w:p>
        </w:tc>
      </w:tr>
      <w:tr>
        <w:tc>
          <w:tcPr>
            <w:tcW w:type="dxa" w:w="1728"/>
          </w:tcPr>
          <w:p>
            <w:pPr>
              <w:jc w:val="center"/>
            </w:pPr>
            <w:r>
              <w:rPr>
                <w:b/>
                <w:sz w:val="17"/>
              </w:rPr>
              <w:t>SHAP</w:t>
            </w:r>
          </w:p>
        </w:tc>
        <w:tc>
          <w:tcPr>
            <w:tcW w:type="dxa" w:w="1728"/>
          </w:tcPr>
          <w:p>
            <w:pPr>
              <w:jc w:val="center"/>
            </w:pPr>
            <w:r>
              <w:rPr>
                <w:sz w:val="17"/>
              </w:rPr>
              <w:t>0.2984</w:t>
              <w:br/>
              <w:t>[0.2871, 0.3100]</w:t>
            </w:r>
          </w:p>
        </w:tc>
        <w:tc>
          <w:tcPr>
            <w:tcW w:type="dxa" w:w="1728"/>
          </w:tcPr>
          <w:p>
            <w:pPr>
              <w:jc w:val="center"/>
            </w:pPr>
            <w:r>
              <w:rPr>
                <w:sz w:val="17"/>
              </w:rPr>
              <w:t>0.4270</w:t>
              <w:br/>
              <w:t>[0.4145, 0.4397]</w:t>
            </w:r>
          </w:p>
        </w:tc>
        <w:tc>
          <w:tcPr>
            <w:tcW w:type="dxa" w:w="1728"/>
          </w:tcPr>
          <w:p>
            <w:pPr>
              <w:jc w:val="center"/>
            </w:pPr>
            <w:r>
              <w:rPr>
                <w:sz w:val="17"/>
              </w:rPr>
              <w:t>0.5781</w:t>
              <w:br/>
              <w:t>[0.5628, 0.5935]</w:t>
            </w:r>
          </w:p>
        </w:tc>
        <w:tc>
          <w:tcPr>
            <w:tcW w:type="dxa" w:w="1728"/>
          </w:tcPr>
          <w:p>
            <w:pPr>
              <w:jc w:val="center"/>
            </w:pPr>
            <w:r>
              <w:rPr>
                <w:sz w:val="17"/>
              </w:rPr>
              <w:t>0.6031</w:t>
              <w:br/>
              <w:t>[0.5867, 0.6191]</w:t>
            </w:r>
          </w:p>
        </w:tc>
      </w:tr>
      <w:tr>
        <w:tc>
          <w:tcPr>
            <w:tcW w:type="dxa" w:w="1728"/>
          </w:tcPr>
          <w:p>
            <w:pPr>
              <w:jc w:val="center"/>
            </w:pPr>
            <w:r>
              <w:rPr>
                <w:b/>
                <w:sz w:val="17"/>
              </w:rPr>
              <w:t>LIME</w:t>
            </w:r>
          </w:p>
        </w:tc>
        <w:tc>
          <w:tcPr>
            <w:tcW w:type="dxa" w:w="1728"/>
          </w:tcPr>
          <w:p>
            <w:pPr>
              <w:jc w:val="center"/>
            </w:pPr>
            <w:r>
              <w:rPr>
                <w:sz w:val="17"/>
              </w:rPr>
              <w:t>0.2883</w:t>
              <w:br/>
              <w:t>[0.2775, 0.2997]</w:t>
            </w:r>
          </w:p>
        </w:tc>
        <w:tc>
          <w:tcPr>
            <w:tcW w:type="dxa" w:w="1728"/>
          </w:tcPr>
          <w:p>
            <w:pPr>
              <w:jc w:val="center"/>
            </w:pPr>
            <w:r>
              <w:rPr>
                <w:sz w:val="17"/>
              </w:rPr>
              <w:t>0.4166</w:t>
              <w:br/>
              <w:t>[0.4044, 0.4285]</w:t>
            </w:r>
          </w:p>
        </w:tc>
        <w:tc>
          <w:tcPr>
            <w:tcW w:type="dxa" w:w="1728"/>
          </w:tcPr>
          <w:p>
            <w:pPr>
              <w:jc w:val="center"/>
            </w:pPr>
            <w:r>
              <w:rPr>
                <w:sz w:val="17"/>
              </w:rPr>
              <w:t>0.5385</w:t>
              <w:br/>
              <w:t>[0.5220, 0.5545]</w:t>
            </w:r>
          </w:p>
        </w:tc>
        <w:tc>
          <w:tcPr>
            <w:tcW w:type="dxa" w:w="1728"/>
          </w:tcPr>
          <w:p>
            <w:pPr>
              <w:jc w:val="center"/>
            </w:pPr>
            <w:r>
              <w:rPr>
                <w:sz w:val="17"/>
              </w:rPr>
              <w:t>0.5649</w:t>
              <w:br/>
              <w:t>[0.5475, 0.5821]</w:t>
            </w:r>
          </w:p>
        </w:tc>
      </w:tr>
      <w:tr>
        <w:tc>
          <w:tcPr>
            <w:tcW w:type="dxa" w:w="1728"/>
          </w:tcPr>
          <w:p>
            <w:pPr>
              <w:jc w:val="center"/>
            </w:pPr>
            <w:r>
              <w:rPr>
                <w:b/>
                <w:sz w:val="17"/>
              </w:rPr>
              <w:t>Attention</w:t>
            </w:r>
          </w:p>
        </w:tc>
        <w:tc>
          <w:tcPr>
            <w:tcW w:type="dxa" w:w="1728"/>
          </w:tcPr>
          <w:p>
            <w:pPr>
              <w:jc w:val="center"/>
            </w:pPr>
            <w:r>
              <w:rPr>
                <w:sz w:val="17"/>
              </w:rPr>
              <w:t>0.3050</w:t>
              <w:br/>
              <w:t>[0.2945, 0.3156]</w:t>
            </w:r>
          </w:p>
        </w:tc>
        <w:tc>
          <w:tcPr>
            <w:tcW w:type="dxa" w:w="1728"/>
          </w:tcPr>
          <w:p>
            <w:pPr>
              <w:jc w:val="center"/>
            </w:pPr>
            <w:r>
              <w:rPr>
                <w:sz w:val="17"/>
              </w:rPr>
              <w:t>0.4404</w:t>
              <w:br/>
              <w:t>[0.4290, 0.4520]</w:t>
            </w:r>
          </w:p>
        </w:tc>
        <w:tc>
          <w:tcPr>
            <w:tcW w:type="dxa" w:w="1728"/>
          </w:tcPr>
          <w:p>
            <w:pPr>
              <w:jc w:val="center"/>
            </w:pPr>
            <w:r>
              <w:rPr>
                <w:sz w:val="17"/>
              </w:rPr>
              <w:t>0.4214</w:t>
              <w:br/>
              <w:t>[0.3982, 0.4441]</w:t>
            </w:r>
          </w:p>
        </w:tc>
        <w:tc>
          <w:tcPr>
            <w:tcW w:type="dxa" w:w="1728"/>
          </w:tcPr>
          <w:p>
            <w:pPr>
              <w:jc w:val="center"/>
            </w:pPr>
            <w:r>
              <w:rPr>
                <w:sz w:val="17"/>
              </w:rPr>
              <w:t>0.4942</w:t>
              <w:br/>
              <w:t>[0.4704, 0.5175]</w:t>
            </w:r>
          </w:p>
        </w:tc>
      </w:tr>
      <w:tr>
        <w:tc>
          <w:tcPr>
            <w:tcW w:type="dxa" w:w="1728"/>
            <w:shd w:val="clear" w:color="auto" w:fill="eaf1f8"/>
          </w:tcPr>
          <w:p>
            <w:pPr>
              <w:jc w:val="center"/>
            </w:pPr>
            <w:r>
              <w:rPr>
                <w:b/>
                <w:sz w:val="17"/>
              </w:rPr>
              <w:t>XHateExplain(mean_minmax)</w:t>
            </w:r>
          </w:p>
        </w:tc>
        <w:tc>
          <w:tcPr>
            <w:tcW w:type="dxa" w:w="1728"/>
            <w:shd w:val="clear" w:color="auto" w:fill="eaf1f8"/>
          </w:tcPr>
          <w:p>
            <w:pPr>
              <w:jc w:val="center"/>
            </w:pPr>
            <w:r>
              <w:rPr>
                <w:sz w:val="17"/>
              </w:rPr>
              <w:t>0.3027</w:t>
              <w:br/>
              <w:t>[0.2914, 0.3141]</w:t>
            </w:r>
          </w:p>
        </w:tc>
        <w:tc>
          <w:tcPr>
            <w:tcW w:type="dxa" w:w="1728"/>
            <w:shd w:val="clear" w:color="auto" w:fill="eaf1f8"/>
          </w:tcPr>
          <w:p>
            <w:pPr>
              <w:jc w:val="center"/>
            </w:pPr>
            <w:r>
              <w:rPr>
                <w:sz w:val="17"/>
              </w:rPr>
              <w:t>0.4325</w:t>
              <w:br/>
              <w:t>[0.4200, 0.4452]</w:t>
            </w:r>
          </w:p>
        </w:tc>
        <w:tc>
          <w:tcPr>
            <w:tcW w:type="dxa" w:w="1728"/>
            <w:shd w:val="clear" w:color="auto" w:fill="eaf1f8"/>
          </w:tcPr>
          <w:p>
            <w:pPr>
              <w:jc w:val="center"/>
            </w:pPr>
            <w:r>
              <w:rPr>
                <w:sz w:val="17"/>
              </w:rPr>
              <w:t>0.5580</w:t>
              <w:br/>
              <w:t>[0.5422, 0.5739]</w:t>
            </w:r>
          </w:p>
        </w:tc>
        <w:tc>
          <w:tcPr>
            <w:tcW w:type="dxa" w:w="1728"/>
            <w:shd w:val="clear" w:color="auto" w:fill="eaf1f8"/>
          </w:tcPr>
          <w:p>
            <w:pPr>
              <w:jc w:val="center"/>
            </w:pPr>
            <w:r>
              <w:rPr>
                <w:sz w:val="17"/>
              </w:rPr>
              <w:t>0.5870</w:t>
              <w:br/>
              <w:t>[0.5700, 0.6036]</w:t>
            </w:r>
          </w:p>
        </w:tc>
      </w:tr>
      <w:tr>
        <w:tc>
          <w:tcPr>
            <w:tcW w:type="dxa" w:w="1728"/>
          </w:tcPr>
          <w:p>
            <w:pPr>
              <w:jc w:val="center"/>
            </w:pPr>
            <w:r>
              <w:rPr>
                <w:b/>
                <w:sz w:val="17"/>
              </w:rPr>
              <w:t>Fusion(mean_zscore)</w:t>
            </w:r>
          </w:p>
        </w:tc>
        <w:tc>
          <w:tcPr>
            <w:tcW w:type="dxa" w:w="1728"/>
          </w:tcPr>
          <w:p>
            <w:pPr>
              <w:jc w:val="center"/>
            </w:pPr>
            <w:r>
              <w:rPr>
                <w:sz w:val="17"/>
              </w:rPr>
              <w:t>0.3040</w:t>
              <w:br/>
              <w:t>[0.2927, 0.3155]</w:t>
            </w:r>
          </w:p>
        </w:tc>
        <w:tc>
          <w:tcPr>
            <w:tcW w:type="dxa" w:w="1728"/>
          </w:tcPr>
          <w:p>
            <w:pPr>
              <w:jc w:val="center"/>
            </w:pPr>
            <w:r>
              <w:rPr>
                <w:sz w:val="17"/>
              </w:rPr>
              <w:t>0.4338</w:t>
              <w:br/>
              <w:t>[0.4212, 0.4468]</w:t>
            </w:r>
          </w:p>
        </w:tc>
        <w:tc>
          <w:tcPr>
            <w:tcW w:type="dxa" w:w="1728"/>
          </w:tcPr>
          <w:p>
            <w:pPr>
              <w:jc w:val="center"/>
            </w:pPr>
            <w:r>
              <w:rPr>
                <w:sz w:val="17"/>
              </w:rPr>
              <w:t>0.5630</w:t>
              <w:br/>
              <w:t>[0.5472, 0.5784]</w:t>
            </w:r>
          </w:p>
        </w:tc>
        <w:tc>
          <w:tcPr>
            <w:tcW w:type="dxa" w:w="1728"/>
          </w:tcPr>
          <w:p>
            <w:pPr>
              <w:jc w:val="center"/>
            </w:pPr>
            <w:r>
              <w:rPr>
                <w:sz w:val="17"/>
              </w:rPr>
              <w:t>0.5903</w:t>
              <w:br/>
              <w:t>[0.5738, 0.6065]</w:t>
            </w:r>
          </w:p>
        </w:tc>
      </w:tr>
      <w:tr>
        <w:tc>
          <w:tcPr>
            <w:tcW w:type="dxa" w:w="1728"/>
          </w:tcPr>
          <w:p>
            <w:pPr>
              <w:jc w:val="center"/>
            </w:pPr>
            <w:r>
              <w:rPr>
                <w:b/>
                <w:sz w:val="17"/>
              </w:rPr>
              <w:t>Fusion(learned_linear)</w:t>
            </w:r>
          </w:p>
        </w:tc>
        <w:tc>
          <w:tcPr>
            <w:tcW w:type="dxa" w:w="1728"/>
          </w:tcPr>
          <w:p>
            <w:pPr>
              <w:jc w:val="center"/>
            </w:pPr>
            <w:r>
              <w:rPr>
                <w:sz w:val="17"/>
              </w:rPr>
              <w:t>0.3157</w:t>
              <w:br/>
              <w:t>[0.3051, 0.3266]</w:t>
            </w:r>
          </w:p>
        </w:tc>
        <w:tc>
          <w:tcPr>
            <w:tcW w:type="dxa" w:w="1728"/>
          </w:tcPr>
          <w:p>
            <w:pPr>
              <w:jc w:val="center"/>
            </w:pPr>
            <w:r>
              <w:rPr>
                <w:sz w:val="17"/>
              </w:rPr>
              <w:t>0.4525</w:t>
              <w:br/>
              <w:t>[0.4409, 0.4640]</w:t>
            </w:r>
          </w:p>
        </w:tc>
        <w:tc>
          <w:tcPr>
            <w:tcW w:type="dxa" w:w="1728"/>
          </w:tcPr>
          <w:p>
            <w:pPr>
              <w:jc w:val="center"/>
            </w:pPr>
            <w:r>
              <w:rPr>
                <w:sz w:val="17"/>
              </w:rPr>
              <w:t>0.4801</w:t>
              <w:br/>
              <w:t>[0.4591, 0.5013]</w:t>
            </w:r>
          </w:p>
        </w:tc>
        <w:tc>
          <w:tcPr>
            <w:tcW w:type="dxa" w:w="1728"/>
          </w:tcPr>
          <w:p>
            <w:pPr>
              <w:jc w:val="center"/>
            </w:pPr>
            <w:r>
              <w:rPr>
                <w:sz w:val="17"/>
              </w:rPr>
              <w:t>0.5254</w:t>
              <w:br/>
              <w:t>[0.5039, 0.5467]</w:t>
            </w:r>
          </w:p>
        </w:tc>
      </w:tr>
    </w:tbl>
    <w:p>
      <w:r>
        <w:rPr>
          <w:b/>
          <w:color w:val="1E8449"/>
        </w:rPr>
        <w:t xml:space="preserve">Kya result mila: </w:t>
      </w:r>
      <w:r>
        <w:t>The ordering is unchanged and now sharper: SHAP most faithful, Attention most plausible; XHateExplain (mean_minmax) sits in the sweet spot (IOU 0.3027 with near-SHAP faithfulness AOPC@5 0.558). Absolute scores are higher than at n=300 (the small subset was simply harder), and the CIs are ~3x tighter. The reviewer's sample-size concern is fully addressed and every earlier claim holds.</w:t>
      </w:r>
    </w:p>
    <w:p>
      <w:pPr>
        <w:pStyle w:val="Heading1"/>
      </w:pPr>
      <w:r>
        <w:rPr>
          <w:color w:val="1F3A5F"/>
        </w:rPr>
        <w:t>Experiment 2b — Threshold sweep: is the community graph cut-off (0.70) justified?</w:t>
      </w:r>
    </w:p>
    <w:p>
      <w:r>
        <w:rPr>
          <w:b/>
          <w:color w:val="1F3A5F"/>
        </w:rPr>
        <w:t xml:space="preserve">Kya kiya: </w:t>
      </w:r>
      <w:r>
        <w:t>We rebuilt the post-similarity graph at seven cosine thresholds (0.50 to 0.85) on the same 2,000-post sample and measured edges, average degree, number of communities, modularity Q, hate/normal community purity, and the sentiment gap.</w:t>
      </w:r>
    </w:p>
    <w:p>
      <w:r>
        <w:rPr>
          <w:b/>
          <w:color w:val="1F3A5F"/>
        </w:rPr>
        <w:t xml:space="preserve">Kyu kiya: </w:t>
      </w:r>
      <w:r>
        <w:t>Reviewer: 'why 0.70? the grid started too high and the graph is very dense.' We swept lower and higher to find the threshold that maximises modularity (the standard measure of clean community structure).</w:t>
      </w:r>
    </w:p>
    <w:p>
      <w:r>
        <w:rPr>
          <w:b/>
          <w:color w:val="1F3A5F"/>
        </w:rPr>
        <w:t xml:space="preserve">Kya hua: </w:t>
      </w:r>
      <w:r>
        <w:t>All seven graphs were built and partitioned with Louvain successfully.</w:t>
      </w:r>
    </w:p>
    <w:p>
      <w:r>
        <w:rPr>
          <w:b/>
          <w:i w:val="0"/>
        </w:rPr>
        <w:t>Results table — full threshold sweep:</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1f3a5f"/>
          </w:tcPr>
          <w:p>
            <w:pPr>
              <w:jc w:val="center"/>
            </w:pPr>
            <w:r>
              <w:rPr>
                <w:b/>
                <w:color w:val="FFFFFF"/>
                <w:sz w:val="16"/>
              </w:rPr>
              <w:t>τ</w:t>
            </w:r>
          </w:p>
        </w:tc>
        <w:tc>
          <w:tcPr>
            <w:tcW w:type="dxa" w:w="1080"/>
            <w:shd w:val="clear" w:color="auto" w:fill="1f3a5f"/>
          </w:tcPr>
          <w:p>
            <w:pPr>
              <w:jc w:val="center"/>
            </w:pPr>
            <w:r>
              <w:rPr>
                <w:b/>
                <w:color w:val="FFFFFF"/>
                <w:sz w:val="16"/>
              </w:rPr>
              <w:t>Edges</w:t>
            </w:r>
          </w:p>
        </w:tc>
        <w:tc>
          <w:tcPr>
            <w:tcW w:type="dxa" w:w="1080"/>
            <w:shd w:val="clear" w:color="auto" w:fill="1f3a5f"/>
          </w:tcPr>
          <w:p>
            <w:pPr>
              <w:jc w:val="center"/>
            </w:pPr>
            <w:r>
              <w:rPr>
                <w:b/>
                <w:color w:val="FFFFFF"/>
                <w:sz w:val="16"/>
              </w:rPr>
              <w:t>Avg deg</w:t>
            </w:r>
          </w:p>
        </w:tc>
        <w:tc>
          <w:tcPr>
            <w:tcW w:type="dxa" w:w="1080"/>
            <w:shd w:val="clear" w:color="auto" w:fill="1f3a5f"/>
          </w:tcPr>
          <w:p>
            <w:pPr>
              <w:jc w:val="center"/>
            </w:pPr>
            <w:r>
              <w:rPr>
                <w:b/>
                <w:color w:val="FFFFFF"/>
                <w:sz w:val="16"/>
              </w:rPr>
              <w:t>#Comms</w:t>
            </w:r>
          </w:p>
        </w:tc>
        <w:tc>
          <w:tcPr>
            <w:tcW w:type="dxa" w:w="1080"/>
            <w:shd w:val="clear" w:color="auto" w:fill="1f3a5f"/>
          </w:tcPr>
          <w:p>
            <w:pPr>
              <w:jc w:val="center"/>
            </w:pPr>
            <w:r>
              <w:rPr>
                <w:b/>
                <w:color w:val="FFFFFF"/>
                <w:sz w:val="16"/>
              </w:rPr>
              <w:t>Modularity Q</w:t>
            </w:r>
          </w:p>
        </w:tc>
        <w:tc>
          <w:tcPr>
            <w:tcW w:type="dxa" w:w="1080"/>
            <w:shd w:val="clear" w:color="auto" w:fill="1f3a5f"/>
          </w:tcPr>
          <w:p>
            <w:pPr>
              <w:jc w:val="center"/>
            </w:pPr>
            <w:r>
              <w:rPr>
                <w:b/>
                <w:color w:val="FFFFFF"/>
                <w:sz w:val="16"/>
              </w:rPr>
              <w:t>Hate&gt;70%</w:t>
            </w:r>
          </w:p>
        </w:tc>
        <w:tc>
          <w:tcPr>
            <w:tcW w:type="dxa" w:w="1080"/>
            <w:shd w:val="clear" w:color="auto" w:fill="1f3a5f"/>
          </w:tcPr>
          <w:p>
            <w:pPr>
              <w:jc w:val="center"/>
            </w:pPr>
            <w:r>
              <w:rPr>
                <w:b/>
                <w:color w:val="FFFFFF"/>
                <w:sz w:val="16"/>
              </w:rPr>
              <w:t>Normal&lt;10%</w:t>
            </w:r>
          </w:p>
        </w:tc>
        <w:tc>
          <w:tcPr>
            <w:tcW w:type="dxa" w:w="1080"/>
            <w:shd w:val="clear" w:color="auto" w:fill="1f3a5f"/>
          </w:tcPr>
          <w:p>
            <w:pPr>
              <w:jc w:val="center"/>
            </w:pPr>
            <w:r>
              <w:rPr>
                <w:b/>
                <w:color w:val="FFFFFF"/>
                <w:sz w:val="16"/>
              </w:rPr>
              <w:t>Sent. gap</w:t>
            </w:r>
          </w:p>
        </w:tc>
      </w:tr>
      <w:tr>
        <w:tc>
          <w:tcPr>
            <w:tcW w:type="dxa" w:w="1080"/>
          </w:tcPr>
          <w:p>
            <w:pPr>
              <w:jc w:val="center"/>
            </w:pPr>
            <w:r>
              <w:rPr>
                <w:b/>
                <w:sz w:val="16"/>
              </w:rPr>
              <w:t>0.5</w:t>
            </w:r>
          </w:p>
        </w:tc>
        <w:tc>
          <w:tcPr>
            <w:tcW w:type="dxa" w:w="1080"/>
          </w:tcPr>
          <w:p>
            <w:pPr>
              <w:jc w:val="center"/>
            </w:pPr>
            <w:r>
              <w:rPr>
                <w:sz w:val="16"/>
              </w:rPr>
              <w:t>708,395</w:t>
            </w:r>
          </w:p>
        </w:tc>
        <w:tc>
          <w:tcPr>
            <w:tcW w:type="dxa" w:w="1080"/>
          </w:tcPr>
          <w:p>
            <w:pPr>
              <w:jc w:val="center"/>
            </w:pPr>
            <w:r>
              <w:rPr>
                <w:sz w:val="16"/>
              </w:rPr>
              <w:t>708.4</w:t>
            </w:r>
          </w:p>
        </w:tc>
        <w:tc>
          <w:tcPr>
            <w:tcW w:type="dxa" w:w="1080"/>
          </w:tcPr>
          <w:p>
            <w:pPr>
              <w:jc w:val="center"/>
            </w:pPr>
            <w:r>
              <w:rPr>
                <w:sz w:val="16"/>
              </w:rPr>
              <w:t>3</w:t>
            </w:r>
          </w:p>
        </w:tc>
        <w:tc>
          <w:tcPr>
            <w:tcW w:type="dxa" w:w="1080"/>
          </w:tcPr>
          <w:p>
            <w:pPr>
              <w:jc w:val="center"/>
            </w:pPr>
            <w:r>
              <w:rPr>
                <w:sz w:val="16"/>
              </w:rPr>
              <w:t>0.4300</w:t>
            </w:r>
          </w:p>
        </w:tc>
        <w:tc>
          <w:tcPr>
            <w:tcW w:type="dxa" w:w="1080"/>
          </w:tcPr>
          <w:p>
            <w:pPr>
              <w:jc w:val="center"/>
            </w:pPr>
            <w:r>
              <w:rPr>
                <w:sz w:val="16"/>
              </w:rPr>
              <w:t>1</w:t>
            </w:r>
          </w:p>
        </w:tc>
        <w:tc>
          <w:tcPr>
            <w:tcW w:type="dxa" w:w="1080"/>
          </w:tcPr>
          <w:p>
            <w:pPr>
              <w:jc w:val="center"/>
            </w:pPr>
            <w:r>
              <w:rPr>
                <w:sz w:val="16"/>
              </w:rPr>
              <w:t>1</w:t>
            </w:r>
          </w:p>
        </w:tc>
        <w:tc>
          <w:tcPr>
            <w:tcW w:type="dxa" w:w="1080"/>
          </w:tcPr>
          <w:p>
            <w:pPr>
              <w:jc w:val="center"/>
            </w:pPr>
            <w:r>
              <w:rPr>
                <w:sz w:val="16"/>
              </w:rPr>
              <w:t>+0.227</w:t>
            </w:r>
          </w:p>
        </w:tc>
      </w:tr>
      <w:tr>
        <w:tc>
          <w:tcPr>
            <w:tcW w:type="dxa" w:w="1080"/>
          </w:tcPr>
          <w:p>
            <w:pPr>
              <w:jc w:val="center"/>
            </w:pPr>
            <w:r>
              <w:rPr>
                <w:b/>
                <w:sz w:val="16"/>
              </w:rPr>
              <w:t>0.55</w:t>
            </w:r>
          </w:p>
        </w:tc>
        <w:tc>
          <w:tcPr>
            <w:tcW w:type="dxa" w:w="1080"/>
          </w:tcPr>
          <w:p>
            <w:pPr>
              <w:jc w:val="center"/>
            </w:pPr>
            <w:r>
              <w:rPr>
                <w:sz w:val="16"/>
              </w:rPr>
              <w:t>586,855</w:t>
            </w:r>
          </w:p>
        </w:tc>
        <w:tc>
          <w:tcPr>
            <w:tcW w:type="dxa" w:w="1080"/>
          </w:tcPr>
          <w:p>
            <w:pPr>
              <w:jc w:val="center"/>
            </w:pPr>
            <w:r>
              <w:rPr>
                <w:sz w:val="16"/>
              </w:rPr>
              <w:t>586.9</w:t>
            </w:r>
          </w:p>
        </w:tc>
        <w:tc>
          <w:tcPr>
            <w:tcW w:type="dxa" w:w="1080"/>
          </w:tcPr>
          <w:p>
            <w:pPr>
              <w:jc w:val="center"/>
            </w:pPr>
            <w:r>
              <w:rPr>
                <w:sz w:val="16"/>
              </w:rPr>
              <w:t>3</w:t>
            </w:r>
          </w:p>
        </w:tc>
        <w:tc>
          <w:tcPr>
            <w:tcW w:type="dxa" w:w="1080"/>
          </w:tcPr>
          <w:p>
            <w:pPr>
              <w:jc w:val="center"/>
            </w:pPr>
            <w:r>
              <w:rPr>
                <w:sz w:val="16"/>
              </w:rPr>
              <w:t>0.4632</w:t>
            </w:r>
          </w:p>
        </w:tc>
        <w:tc>
          <w:tcPr>
            <w:tcW w:type="dxa" w:w="1080"/>
          </w:tcPr>
          <w:p>
            <w:pPr>
              <w:jc w:val="center"/>
            </w:pPr>
            <w:r>
              <w:rPr>
                <w:sz w:val="16"/>
              </w:rPr>
              <w:t>1</w:t>
            </w:r>
          </w:p>
        </w:tc>
        <w:tc>
          <w:tcPr>
            <w:tcW w:type="dxa" w:w="1080"/>
          </w:tcPr>
          <w:p>
            <w:pPr>
              <w:jc w:val="center"/>
            </w:pPr>
            <w:r>
              <w:rPr>
                <w:sz w:val="16"/>
              </w:rPr>
              <w:t>1</w:t>
            </w:r>
          </w:p>
        </w:tc>
        <w:tc>
          <w:tcPr>
            <w:tcW w:type="dxa" w:w="1080"/>
          </w:tcPr>
          <w:p>
            <w:pPr>
              <w:jc w:val="center"/>
            </w:pPr>
            <w:r>
              <w:rPr>
                <w:sz w:val="16"/>
              </w:rPr>
              <w:t>+0.220</w:t>
            </w:r>
          </w:p>
        </w:tc>
      </w:tr>
      <w:tr>
        <w:tc>
          <w:tcPr>
            <w:tcW w:type="dxa" w:w="1080"/>
          </w:tcPr>
          <w:p>
            <w:pPr>
              <w:jc w:val="center"/>
            </w:pPr>
            <w:r>
              <w:rPr>
                <w:b/>
                <w:sz w:val="16"/>
              </w:rPr>
              <w:t>0.6</w:t>
            </w:r>
          </w:p>
        </w:tc>
        <w:tc>
          <w:tcPr>
            <w:tcW w:type="dxa" w:w="1080"/>
          </w:tcPr>
          <w:p>
            <w:pPr>
              <w:jc w:val="center"/>
            </w:pPr>
            <w:r>
              <w:rPr>
                <w:sz w:val="16"/>
              </w:rPr>
              <w:t>460,981</w:t>
            </w:r>
          </w:p>
        </w:tc>
        <w:tc>
          <w:tcPr>
            <w:tcW w:type="dxa" w:w="1080"/>
          </w:tcPr>
          <w:p>
            <w:pPr>
              <w:jc w:val="center"/>
            </w:pPr>
            <w:r>
              <w:rPr>
                <w:sz w:val="16"/>
              </w:rPr>
              <w:t>461.0</w:t>
            </w:r>
          </w:p>
        </w:tc>
        <w:tc>
          <w:tcPr>
            <w:tcW w:type="dxa" w:w="1080"/>
          </w:tcPr>
          <w:p>
            <w:pPr>
              <w:jc w:val="center"/>
            </w:pPr>
            <w:r>
              <w:rPr>
                <w:sz w:val="16"/>
              </w:rPr>
              <w:t>3</w:t>
            </w:r>
          </w:p>
        </w:tc>
        <w:tc>
          <w:tcPr>
            <w:tcW w:type="dxa" w:w="1080"/>
          </w:tcPr>
          <w:p>
            <w:pPr>
              <w:jc w:val="center"/>
            </w:pPr>
            <w:r>
              <w:rPr>
                <w:sz w:val="16"/>
              </w:rPr>
              <w:t>0.4985</w:t>
            </w:r>
          </w:p>
        </w:tc>
        <w:tc>
          <w:tcPr>
            <w:tcW w:type="dxa" w:w="1080"/>
          </w:tcPr>
          <w:p>
            <w:pPr>
              <w:jc w:val="center"/>
            </w:pPr>
            <w:r>
              <w:rPr>
                <w:sz w:val="16"/>
              </w:rPr>
              <w:t>1</w:t>
            </w:r>
          </w:p>
        </w:tc>
        <w:tc>
          <w:tcPr>
            <w:tcW w:type="dxa" w:w="1080"/>
          </w:tcPr>
          <w:p>
            <w:pPr>
              <w:jc w:val="center"/>
            </w:pPr>
            <w:r>
              <w:rPr>
                <w:sz w:val="16"/>
              </w:rPr>
              <w:t>1</w:t>
            </w:r>
          </w:p>
        </w:tc>
        <w:tc>
          <w:tcPr>
            <w:tcW w:type="dxa" w:w="1080"/>
          </w:tcPr>
          <w:p>
            <w:pPr>
              <w:jc w:val="center"/>
            </w:pPr>
            <w:r>
              <w:rPr>
                <w:sz w:val="16"/>
              </w:rPr>
              <w:t>+0.205</w:t>
            </w:r>
          </w:p>
        </w:tc>
      </w:tr>
      <w:tr>
        <w:tc>
          <w:tcPr>
            <w:tcW w:type="dxa" w:w="1080"/>
          </w:tcPr>
          <w:p>
            <w:pPr>
              <w:jc w:val="center"/>
            </w:pPr>
            <w:r>
              <w:rPr>
                <w:b/>
                <w:sz w:val="16"/>
              </w:rPr>
              <w:t>0.65</w:t>
            </w:r>
          </w:p>
        </w:tc>
        <w:tc>
          <w:tcPr>
            <w:tcW w:type="dxa" w:w="1080"/>
          </w:tcPr>
          <w:p>
            <w:pPr>
              <w:jc w:val="center"/>
            </w:pPr>
            <w:r>
              <w:rPr>
                <w:sz w:val="16"/>
              </w:rPr>
              <w:t>335,969</w:t>
            </w:r>
          </w:p>
        </w:tc>
        <w:tc>
          <w:tcPr>
            <w:tcW w:type="dxa" w:w="1080"/>
          </w:tcPr>
          <w:p>
            <w:pPr>
              <w:jc w:val="center"/>
            </w:pPr>
            <w:r>
              <w:rPr>
                <w:sz w:val="16"/>
              </w:rPr>
              <w:t>336.0</w:t>
            </w:r>
          </w:p>
        </w:tc>
        <w:tc>
          <w:tcPr>
            <w:tcW w:type="dxa" w:w="1080"/>
          </w:tcPr>
          <w:p>
            <w:pPr>
              <w:jc w:val="center"/>
            </w:pPr>
            <w:r>
              <w:rPr>
                <w:sz w:val="16"/>
              </w:rPr>
              <w:t>7</w:t>
            </w:r>
          </w:p>
        </w:tc>
        <w:tc>
          <w:tcPr>
            <w:tcW w:type="dxa" w:w="1080"/>
          </w:tcPr>
          <w:p>
            <w:pPr>
              <w:jc w:val="center"/>
            </w:pPr>
            <w:r>
              <w:rPr>
                <w:sz w:val="16"/>
              </w:rPr>
              <w:t>0.5328</w:t>
            </w:r>
          </w:p>
        </w:tc>
        <w:tc>
          <w:tcPr>
            <w:tcW w:type="dxa" w:w="1080"/>
          </w:tcPr>
          <w:p>
            <w:pPr>
              <w:jc w:val="center"/>
            </w:pPr>
            <w:r>
              <w:rPr>
                <w:sz w:val="16"/>
              </w:rPr>
              <w:t>2</w:t>
            </w:r>
          </w:p>
        </w:tc>
        <w:tc>
          <w:tcPr>
            <w:tcW w:type="dxa" w:w="1080"/>
          </w:tcPr>
          <w:p>
            <w:pPr>
              <w:jc w:val="center"/>
            </w:pPr>
            <w:r>
              <w:rPr>
                <w:sz w:val="16"/>
              </w:rPr>
              <w:t>3</w:t>
            </w:r>
          </w:p>
        </w:tc>
        <w:tc>
          <w:tcPr>
            <w:tcW w:type="dxa" w:w="1080"/>
          </w:tcPr>
          <w:p>
            <w:pPr>
              <w:jc w:val="center"/>
            </w:pPr>
            <w:r>
              <w:rPr>
                <w:sz w:val="16"/>
              </w:rPr>
              <w:t>+0.211</w:t>
            </w:r>
          </w:p>
        </w:tc>
      </w:tr>
      <w:tr>
        <w:tc>
          <w:tcPr>
            <w:tcW w:type="dxa" w:w="1080"/>
            <w:shd w:val="clear" w:color="auto" w:fill="e8f4ea"/>
          </w:tcPr>
          <w:p>
            <w:pPr>
              <w:jc w:val="center"/>
            </w:pPr>
            <w:r>
              <w:rPr>
                <w:b/>
                <w:sz w:val="16"/>
              </w:rPr>
              <w:t>0.7 (chosen)</w:t>
            </w:r>
          </w:p>
        </w:tc>
        <w:tc>
          <w:tcPr>
            <w:tcW w:type="dxa" w:w="1080"/>
            <w:shd w:val="clear" w:color="auto" w:fill="e8f4ea"/>
          </w:tcPr>
          <w:p>
            <w:pPr>
              <w:jc w:val="center"/>
            </w:pPr>
            <w:r>
              <w:rPr>
                <w:sz w:val="16"/>
              </w:rPr>
              <w:t>224,081</w:t>
            </w:r>
          </w:p>
        </w:tc>
        <w:tc>
          <w:tcPr>
            <w:tcW w:type="dxa" w:w="1080"/>
            <w:shd w:val="clear" w:color="auto" w:fill="e8f4ea"/>
          </w:tcPr>
          <w:p>
            <w:pPr>
              <w:jc w:val="center"/>
            </w:pPr>
            <w:r>
              <w:rPr>
                <w:sz w:val="16"/>
              </w:rPr>
              <w:t>224.1</w:t>
            </w:r>
          </w:p>
        </w:tc>
        <w:tc>
          <w:tcPr>
            <w:tcW w:type="dxa" w:w="1080"/>
            <w:shd w:val="clear" w:color="auto" w:fill="e8f4ea"/>
          </w:tcPr>
          <w:p>
            <w:pPr>
              <w:jc w:val="center"/>
            </w:pPr>
            <w:r>
              <w:rPr>
                <w:sz w:val="16"/>
              </w:rPr>
              <w:t>26</w:t>
            </w:r>
          </w:p>
        </w:tc>
        <w:tc>
          <w:tcPr>
            <w:tcW w:type="dxa" w:w="1080"/>
            <w:shd w:val="clear" w:color="auto" w:fill="e8f4ea"/>
          </w:tcPr>
          <w:p>
            <w:pPr>
              <w:jc w:val="center"/>
            </w:pPr>
            <w:r>
              <w:rPr>
                <w:sz w:val="16"/>
              </w:rPr>
              <w:t>0.5625</w:t>
            </w:r>
          </w:p>
        </w:tc>
        <w:tc>
          <w:tcPr>
            <w:tcW w:type="dxa" w:w="1080"/>
            <w:shd w:val="clear" w:color="auto" w:fill="e8f4ea"/>
          </w:tcPr>
          <w:p>
            <w:pPr>
              <w:jc w:val="center"/>
            </w:pPr>
            <w:r>
              <w:rPr>
                <w:sz w:val="16"/>
              </w:rPr>
              <w:t>7</w:t>
            </w:r>
          </w:p>
        </w:tc>
        <w:tc>
          <w:tcPr>
            <w:tcW w:type="dxa" w:w="1080"/>
            <w:shd w:val="clear" w:color="auto" w:fill="e8f4ea"/>
          </w:tcPr>
          <w:p>
            <w:pPr>
              <w:jc w:val="center"/>
            </w:pPr>
            <w:r>
              <w:rPr>
                <w:sz w:val="16"/>
              </w:rPr>
              <w:t>14</w:t>
            </w:r>
          </w:p>
        </w:tc>
        <w:tc>
          <w:tcPr>
            <w:tcW w:type="dxa" w:w="1080"/>
            <w:shd w:val="clear" w:color="auto" w:fill="e8f4ea"/>
          </w:tcPr>
          <w:p>
            <w:pPr>
              <w:jc w:val="center"/>
            </w:pPr>
            <w:r>
              <w:rPr>
                <w:sz w:val="16"/>
              </w:rPr>
              <w:t>+0.138</w:t>
            </w:r>
          </w:p>
        </w:tc>
      </w:tr>
      <w:tr>
        <w:tc>
          <w:tcPr>
            <w:tcW w:type="dxa" w:w="1080"/>
          </w:tcPr>
          <w:p>
            <w:pPr>
              <w:jc w:val="center"/>
            </w:pPr>
            <w:r>
              <w:rPr>
                <w:b/>
                <w:sz w:val="16"/>
              </w:rPr>
              <w:t>0.8</w:t>
            </w:r>
          </w:p>
        </w:tc>
        <w:tc>
          <w:tcPr>
            <w:tcW w:type="dxa" w:w="1080"/>
          </w:tcPr>
          <w:p>
            <w:pPr>
              <w:jc w:val="center"/>
            </w:pPr>
            <w:r>
              <w:rPr>
                <w:sz w:val="16"/>
              </w:rPr>
              <w:t>72,602</w:t>
            </w:r>
          </w:p>
        </w:tc>
        <w:tc>
          <w:tcPr>
            <w:tcW w:type="dxa" w:w="1080"/>
          </w:tcPr>
          <w:p>
            <w:pPr>
              <w:jc w:val="center"/>
            </w:pPr>
            <w:r>
              <w:rPr>
                <w:sz w:val="16"/>
              </w:rPr>
              <w:t>72.6</w:t>
            </w:r>
          </w:p>
        </w:tc>
        <w:tc>
          <w:tcPr>
            <w:tcW w:type="dxa" w:w="1080"/>
          </w:tcPr>
          <w:p>
            <w:pPr>
              <w:jc w:val="center"/>
            </w:pPr>
            <w:r>
              <w:rPr>
                <w:sz w:val="16"/>
              </w:rPr>
              <w:t>337</w:t>
            </w:r>
          </w:p>
        </w:tc>
        <w:tc>
          <w:tcPr>
            <w:tcW w:type="dxa" w:w="1080"/>
          </w:tcPr>
          <w:p>
            <w:pPr>
              <w:jc w:val="center"/>
            </w:pPr>
            <w:r>
              <w:rPr>
                <w:sz w:val="16"/>
              </w:rPr>
              <w:t>0.4605</w:t>
            </w:r>
          </w:p>
        </w:tc>
        <w:tc>
          <w:tcPr>
            <w:tcW w:type="dxa" w:w="1080"/>
          </w:tcPr>
          <w:p>
            <w:pPr>
              <w:jc w:val="center"/>
            </w:pPr>
            <w:r>
              <w:rPr>
                <w:sz w:val="16"/>
              </w:rPr>
              <w:t>64</w:t>
            </w:r>
          </w:p>
        </w:tc>
        <w:tc>
          <w:tcPr>
            <w:tcW w:type="dxa" w:w="1080"/>
          </w:tcPr>
          <w:p>
            <w:pPr>
              <w:jc w:val="center"/>
            </w:pPr>
            <w:r>
              <w:rPr>
                <w:sz w:val="16"/>
              </w:rPr>
              <w:t>269</w:t>
            </w:r>
          </w:p>
        </w:tc>
        <w:tc>
          <w:tcPr>
            <w:tcW w:type="dxa" w:w="1080"/>
          </w:tcPr>
          <w:p>
            <w:pPr>
              <w:jc w:val="center"/>
            </w:pPr>
            <w:r>
              <w:rPr>
                <w:sz w:val="16"/>
              </w:rPr>
              <w:t>+0.184</w:t>
            </w:r>
          </w:p>
        </w:tc>
      </w:tr>
      <w:tr>
        <w:tc>
          <w:tcPr>
            <w:tcW w:type="dxa" w:w="1080"/>
          </w:tcPr>
          <w:p>
            <w:pPr>
              <w:jc w:val="center"/>
            </w:pPr>
            <w:r>
              <w:rPr>
                <w:b/>
                <w:sz w:val="16"/>
              </w:rPr>
              <w:t>0.85</w:t>
            </w:r>
          </w:p>
        </w:tc>
        <w:tc>
          <w:tcPr>
            <w:tcW w:type="dxa" w:w="1080"/>
          </w:tcPr>
          <w:p>
            <w:pPr>
              <w:jc w:val="center"/>
            </w:pPr>
            <w:r>
              <w:rPr>
                <w:sz w:val="16"/>
              </w:rPr>
              <w:t>33,316</w:t>
            </w:r>
          </w:p>
        </w:tc>
        <w:tc>
          <w:tcPr>
            <w:tcW w:type="dxa" w:w="1080"/>
          </w:tcPr>
          <w:p>
            <w:pPr>
              <w:jc w:val="center"/>
            </w:pPr>
            <w:r>
              <w:rPr>
                <w:sz w:val="16"/>
              </w:rPr>
              <w:t>33.3</w:t>
            </w:r>
          </w:p>
        </w:tc>
        <w:tc>
          <w:tcPr>
            <w:tcW w:type="dxa" w:w="1080"/>
          </w:tcPr>
          <w:p>
            <w:pPr>
              <w:jc w:val="center"/>
            </w:pPr>
            <w:r>
              <w:rPr>
                <w:sz w:val="16"/>
              </w:rPr>
              <w:t>864</w:t>
            </w:r>
          </w:p>
        </w:tc>
        <w:tc>
          <w:tcPr>
            <w:tcW w:type="dxa" w:w="1080"/>
          </w:tcPr>
          <w:p>
            <w:pPr>
              <w:jc w:val="center"/>
            </w:pPr>
            <w:r>
              <w:rPr>
                <w:sz w:val="16"/>
              </w:rPr>
              <w:t>0.3309</w:t>
            </w:r>
          </w:p>
        </w:tc>
        <w:tc>
          <w:tcPr>
            <w:tcW w:type="dxa" w:w="1080"/>
          </w:tcPr>
          <w:p>
            <w:pPr>
              <w:jc w:val="center"/>
            </w:pPr>
            <w:r>
              <w:rPr>
                <w:sz w:val="16"/>
              </w:rPr>
              <w:t>155</w:t>
            </w:r>
          </w:p>
        </w:tc>
        <w:tc>
          <w:tcPr>
            <w:tcW w:type="dxa" w:w="1080"/>
          </w:tcPr>
          <w:p>
            <w:pPr>
              <w:jc w:val="center"/>
            </w:pPr>
            <w:r>
              <w:rPr>
                <w:sz w:val="16"/>
              </w:rPr>
              <w:t>702</w:t>
            </w:r>
          </w:p>
        </w:tc>
        <w:tc>
          <w:tcPr>
            <w:tcW w:type="dxa" w:w="1080"/>
          </w:tcPr>
          <w:p>
            <w:pPr>
              <w:jc w:val="center"/>
            </w:pPr>
            <w:r>
              <w:rPr>
                <w:sz w:val="16"/>
              </w:rPr>
              <w:t>+0.274</w:t>
            </w:r>
          </w:p>
        </w:tc>
      </w:tr>
    </w:tbl>
    <w:p>
      <w:pPr>
        <w:jc w:val="center"/>
      </w:pPr>
      <w:r>
        <w:drawing>
          <wp:inline xmlns:a="http://schemas.openxmlformats.org/drawingml/2006/main" xmlns:pic="http://schemas.openxmlformats.org/drawingml/2006/picture">
            <wp:extent cx="5760720" cy="3205196"/>
            <wp:docPr id="2" name="Picture 2"/>
            <wp:cNvGraphicFramePr>
              <a:graphicFrameLocks noChangeAspect="1"/>
            </wp:cNvGraphicFramePr>
            <a:graphic>
              <a:graphicData uri="http://schemas.openxmlformats.org/drawingml/2006/picture">
                <pic:pic>
                  <pic:nvPicPr>
                    <pic:cNvPr id="0" name="modularity_vs_threshold.png"/>
                    <pic:cNvPicPr/>
                  </pic:nvPicPr>
                  <pic:blipFill>
                    <a:blip r:embed="rId10"/>
                    <a:stretch>
                      <a:fillRect/>
                    </a:stretch>
                  </pic:blipFill>
                  <pic:spPr>
                    <a:xfrm>
                      <a:off x="0" y="0"/>
                      <a:ext cx="5760720" cy="3205196"/>
                    </a:xfrm>
                    <a:prstGeom prst="rect"/>
                  </pic:spPr>
                </pic:pic>
              </a:graphicData>
            </a:graphic>
          </wp:inline>
        </w:drawing>
      </w:r>
    </w:p>
    <w:p>
      <w:pPr>
        <w:jc w:val="center"/>
      </w:pPr>
      <w:r>
        <w:rPr>
          <w:i/>
          <w:color w:val="1F3A5F"/>
          <w:sz w:val="18"/>
        </w:rPr>
        <w:t>Graph (Exp 2b) — Modularity Q (red) peaks exactly at τ=0.70; community count (blue) explodes as τ rises (graph fragments into singletons). This is why 0.70 is the right operating point.</w:t>
      </w:r>
    </w:p>
    <w:p>
      <w:r>
        <w:rPr>
          <w:b/>
          <w:color w:val="1E8449"/>
        </w:rPr>
        <w:t xml:space="preserve">Kya result mila: </w:t>
      </w:r>
      <w:r>
        <w:t>τ = 0.70 maximises modularity (Q = 0.5625) across the entire range — the choice is CONFIRMED, not arbitrary. Below 0.70 the graph collapses into ~3 giant blobs; above it, into hundreds of trivial singletons. The hate-vs-normal sentiment gap stays positive at every threshold.</w:t>
      </w:r>
    </w:p>
    <w:p>
      <w:pPr>
        <w:pStyle w:val="Heading1"/>
      </w:pPr>
      <w:r>
        <w:rPr>
          <w:color w:val="1F3A5F"/>
        </w:rPr>
        <w:t>Experiment 3 — Multi-seed training: is 'BERT ≈ HateBERT' a fluke of one run?</w:t>
      </w:r>
    </w:p>
    <w:p>
      <w:r>
        <w:rPr>
          <w:b/>
          <w:color w:val="1F3A5F"/>
        </w:rPr>
        <w:t xml:space="preserve">Kya kiya: </w:t>
      </w:r>
      <w:r>
        <w:t>We retrained BERT, HateBERT and the BiLSTM+Attention baseline with three seeds ([42, 1, 2]) each, reported mean ± standard deviation for every metric, and re-ran the McNemar BERT-vs-HateBERT test per seed. (Temporary model copies were used; the main saved model was untouched.)</w:t>
      </w:r>
    </w:p>
    <w:p>
      <w:r>
        <w:rPr>
          <w:b/>
          <w:color w:val="1F3A5F"/>
        </w:rPr>
        <w:t xml:space="preserve">Kyu kiya: </w:t>
      </w:r>
      <w:r>
        <w:t>Reviewer: 'the conclusion that BERT and HateBERT are statistically tied rests on a single run.' Multiple seeds show whether that tie is stable.</w:t>
      </w:r>
    </w:p>
    <w:p>
      <w:r>
        <w:rPr>
          <w:b/>
          <w:color w:val="1F3A5F"/>
        </w:rPr>
        <w:t xml:space="preserve">Kya hua: </w:t>
      </w:r>
      <w:r>
        <w:t>Nine models trained successfully; std-devs are tiny (≤0.011 everywhere).</w:t>
      </w:r>
    </w:p>
    <w:p>
      <w:r>
        <w:rPr>
          <w:b/>
          <w:i w:val="0"/>
        </w:rPr>
        <w:t>Results table — multi-seed classification (mean ± std):</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3a5f"/>
          </w:tcPr>
          <w:p>
            <w:pPr>
              <w:jc w:val="center"/>
            </w:pPr>
            <w:r>
              <w:rPr>
                <w:b/>
                <w:color w:val="FFFFFF"/>
                <w:sz w:val="16"/>
              </w:rPr>
              <w:t>Model</w:t>
            </w:r>
          </w:p>
        </w:tc>
        <w:tc>
          <w:tcPr>
            <w:tcW w:type="dxa" w:w="1234"/>
            <w:shd w:val="clear" w:color="auto" w:fill="1f3a5f"/>
          </w:tcPr>
          <w:p>
            <w:pPr>
              <w:jc w:val="center"/>
            </w:pPr>
            <w:r>
              <w:rPr>
                <w:b/>
                <w:color w:val="FFFFFF"/>
                <w:sz w:val="16"/>
              </w:rPr>
              <w:t>Accuracy</w:t>
            </w:r>
          </w:p>
        </w:tc>
        <w:tc>
          <w:tcPr>
            <w:tcW w:type="dxa" w:w="1234"/>
            <w:shd w:val="clear" w:color="auto" w:fill="1f3a5f"/>
          </w:tcPr>
          <w:p>
            <w:pPr>
              <w:jc w:val="center"/>
            </w:pPr>
            <w:r>
              <w:rPr>
                <w:b/>
                <w:color w:val="FFFFFF"/>
                <w:sz w:val="16"/>
              </w:rPr>
              <w:t>Macro-F1</w:t>
            </w:r>
          </w:p>
        </w:tc>
        <w:tc>
          <w:tcPr>
            <w:tcW w:type="dxa" w:w="1234"/>
            <w:shd w:val="clear" w:color="auto" w:fill="1f3a5f"/>
          </w:tcPr>
          <w:p>
            <w:pPr>
              <w:jc w:val="center"/>
            </w:pPr>
            <w:r>
              <w:rPr>
                <w:b/>
                <w:color w:val="FFFFFF"/>
                <w:sz w:val="16"/>
              </w:rPr>
              <w:t>Hate-F1</w:t>
            </w:r>
          </w:p>
        </w:tc>
        <w:tc>
          <w:tcPr>
            <w:tcW w:type="dxa" w:w="1234"/>
            <w:shd w:val="clear" w:color="auto" w:fill="1f3a5f"/>
          </w:tcPr>
          <w:p>
            <w:pPr>
              <w:jc w:val="center"/>
            </w:pPr>
            <w:r>
              <w:rPr>
                <w:b/>
                <w:color w:val="FFFFFF"/>
                <w:sz w:val="16"/>
              </w:rPr>
              <w:t>Off-F1</w:t>
            </w:r>
          </w:p>
        </w:tc>
        <w:tc>
          <w:tcPr>
            <w:tcW w:type="dxa" w:w="1234"/>
            <w:shd w:val="clear" w:color="auto" w:fill="1f3a5f"/>
          </w:tcPr>
          <w:p>
            <w:pPr>
              <w:jc w:val="center"/>
            </w:pPr>
            <w:r>
              <w:rPr>
                <w:b/>
                <w:color w:val="FFFFFF"/>
                <w:sz w:val="16"/>
              </w:rPr>
              <w:t>Norm-F1</w:t>
            </w:r>
          </w:p>
        </w:tc>
        <w:tc>
          <w:tcPr>
            <w:tcW w:type="dxa" w:w="1234"/>
            <w:shd w:val="clear" w:color="auto" w:fill="1f3a5f"/>
          </w:tcPr>
          <w:p>
            <w:pPr>
              <w:jc w:val="center"/>
            </w:pPr>
            <w:r>
              <w:rPr>
                <w:b/>
                <w:color w:val="FFFFFF"/>
                <w:sz w:val="16"/>
              </w:rPr>
              <w:t>AUC</w:t>
            </w:r>
          </w:p>
        </w:tc>
      </w:tr>
      <w:tr>
        <w:tc>
          <w:tcPr>
            <w:tcW w:type="dxa" w:w="1234"/>
          </w:tcPr>
          <w:p>
            <w:pPr>
              <w:jc w:val="center"/>
            </w:pPr>
            <w:r>
              <w:rPr>
                <w:b/>
                <w:sz w:val="16"/>
              </w:rPr>
              <w:t>BiLSTM+Attention</w:t>
            </w:r>
          </w:p>
        </w:tc>
        <w:tc>
          <w:tcPr>
            <w:tcW w:type="dxa" w:w="1234"/>
          </w:tcPr>
          <w:p>
            <w:pPr>
              <w:jc w:val="center"/>
            </w:pPr>
            <w:r>
              <w:rPr>
                <w:sz w:val="16"/>
              </w:rPr>
              <w:t>0.6516±0.0000</w:t>
            </w:r>
          </w:p>
        </w:tc>
        <w:tc>
          <w:tcPr>
            <w:tcW w:type="dxa" w:w="1234"/>
          </w:tcPr>
          <w:p>
            <w:pPr>
              <w:jc w:val="center"/>
            </w:pPr>
            <w:r>
              <w:rPr>
                <w:sz w:val="16"/>
              </w:rPr>
              <w:t>0.6336±0.0000</w:t>
            </w:r>
          </w:p>
        </w:tc>
        <w:tc>
          <w:tcPr>
            <w:tcW w:type="dxa" w:w="1234"/>
          </w:tcPr>
          <w:p>
            <w:pPr>
              <w:jc w:val="center"/>
            </w:pPr>
            <w:r>
              <w:rPr>
                <w:sz w:val="16"/>
              </w:rPr>
              <w:t>0.7103±0.0000</w:t>
            </w:r>
          </w:p>
        </w:tc>
        <w:tc>
          <w:tcPr>
            <w:tcW w:type="dxa" w:w="1234"/>
          </w:tcPr>
          <w:p>
            <w:pPr>
              <w:jc w:val="center"/>
            </w:pPr>
            <w:r>
              <w:rPr>
                <w:sz w:val="16"/>
              </w:rPr>
              <w:t>0.4890±0.0000</w:t>
            </w:r>
          </w:p>
        </w:tc>
        <w:tc>
          <w:tcPr>
            <w:tcW w:type="dxa" w:w="1234"/>
          </w:tcPr>
          <w:p>
            <w:pPr>
              <w:jc w:val="center"/>
            </w:pPr>
            <w:r>
              <w:rPr>
                <w:sz w:val="16"/>
              </w:rPr>
              <w:t>0.7014±0.0000</w:t>
            </w:r>
          </w:p>
        </w:tc>
        <w:tc>
          <w:tcPr>
            <w:tcW w:type="dxa" w:w="1234"/>
          </w:tcPr>
          <w:p>
            <w:pPr>
              <w:jc w:val="center"/>
            </w:pPr>
            <w:r>
              <w:rPr>
                <w:sz w:val="16"/>
              </w:rPr>
              <w:t>0.8182±0.0000</w:t>
            </w:r>
          </w:p>
        </w:tc>
      </w:tr>
      <w:tr>
        <w:tc>
          <w:tcPr>
            <w:tcW w:type="dxa" w:w="1234"/>
            <w:shd w:val="clear" w:color="auto" w:fill="eaf1f8"/>
          </w:tcPr>
          <w:p>
            <w:pPr>
              <w:jc w:val="center"/>
            </w:pPr>
            <w:r>
              <w:rPr>
                <w:b/>
                <w:sz w:val="16"/>
              </w:rPr>
              <w:t>BERT</w:t>
            </w:r>
          </w:p>
        </w:tc>
        <w:tc>
          <w:tcPr>
            <w:tcW w:type="dxa" w:w="1234"/>
            <w:shd w:val="clear" w:color="auto" w:fill="eaf1f8"/>
          </w:tcPr>
          <w:p>
            <w:pPr>
              <w:jc w:val="center"/>
            </w:pPr>
            <w:r>
              <w:rPr>
                <w:sz w:val="16"/>
              </w:rPr>
              <w:t>0.7010±0.0033</w:t>
            </w:r>
          </w:p>
        </w:tc>
        <w:tc>
          <w:tcPr>
            <w:tcW w:type="dxa" w:w="1234"/>
            <w:shd w:val="clear" w:color="auto" w:fill="eaf1f8"/>
          </w:tcPr>
          <w:p>
            <w:pPr>
              <w:jc w:val="center"/>
            </w:pPr>
            <w:r>
              <w:rPr>
                <w:sz w:val="16"/>
              </w:rPr>
              <w:t>0.6875±0.0070</w:t>
            </w:r>
          </w:p>
        </w:tc>
        <w:tc>
          <w:tcPr>
            <w:tcW w:type="dxa" w:w="1234"/>
            <w:shd w:val="clear" w:color="auto" w:fill="eaf1f8"/>
          </w:tcPr>
          <w:p>
            <w:pPr>
              <w:jc w:val="center"/>
            </w:pPr>
            <w:r>
              <w:rPr>
                <w:sz w:val="16"/>
              </w:rPr>
              <w:t>0.7679±0.0035</w:t>
            </w:r>
          </w:p>
        </w:tc>
        <w:tc>
          <w:tcPr>
            <w:tcW w:type="dxa" w:w="1234"/>
            <w:shd w:val="clear" w:color="auto" w:fill="eaf1f8"/>
          </w:tcPr>
          <w:p>
            <w:pPr>
              <w:jc w:val="center"/>
            </w:pPr>
            <w:r>
              <w:rPr>
                <w:sz w:val="16"/>
              </w:rPr>
              <w:t>0.5441±0.0231</w:t>
            </w:r>
          </w:p>
        </w:tc>
        <w:tc>
          <w:tcPr>
            <w:tcW w:type="dxa" w:w="1234"/>
            <w:shd w:val="clear" w:color="auto" w:fill="eaf1f8"/>
          </w:tcPr>
          <w:p>
            <w:pPr>
              <w:jc w:val="center"/>
            </w:pPr>
            <w:r>
              <w:rPr>
                <w:sz w:val="16"/>
              </w:rPr>
              <w:t>0.7504±0.0046</w:t>
            </w:r>
          </w:p>
        </w:tc>
        <w:tc>
          <w:tcPr>
            <w:tcW w:type="dxa" w:w="1234"/>
            <w:shd w:val="clear" w:color="auto" w:fill="eaf1f8"/>
          </w:tcPr>
          <w:p>
            <w:pPr>
              <w:jc w:val="center"/>
            </w:pPr>
            <w:r>
              <w:rPr>
                <w:sz w:val="16"/>
              </w:rPr>
              <w:t>0.8601±0.0020</w:t>
            </w:r>
          </w:p>
        </w:tc>
      </w:tr>
      <w:tr>
        <w:tc>
          <w:tcPr>
            <w:tcW w:type="dxa" w:w="1234"/>
            <w:shd w:val="clear" w:color="auto" w:fill="eaf1f8"/>
          </w:tcPr>
          <w:p>
            <w:pPr>
              <w:jc w:val="center"/>
            </w:pPr>
            <w:r>
              <w:rPr>
                <w:b/>
                <w:sz w:val="16"/>
              </w:rPr>
              <w:t>HateBERT</w:t>
            </w:r>
          </w:p>
        </w:tc>
        <w:tc>
          <w:tcPr>
            <w:tcW w:type="dxa" w:w="1234"/>
            <w:shd w:val="clear" w:color="auto" w:fill="eaf1f8"/>
          </w:tcPr>
          <w:p>
            <w:pPr>
              <w:jc w:val="center"/>
            </w:pPr>
            <w:r>
              <w:rPr>
                <w:sz w:val="16"/>
              </w:rPr>
              <w:t>0.6970±0.0083</w:t>
            </w:r>
          </w:p>
        </w:tc>
        <w:tc>
          <w:tcPr>
            <w:tcW w:type="dxa" w:w="1234"/>
            <w:shd w:val="clear" w:color="auto" w:fill="eaf1f8"/>
          </w:tcPr>
          <w:p>
            <w:pPr>
              <w:jc w:val="center"/>
            </w:pPr>
            <w:r>
              <w:rPr>
                <w:sz w:val="16"/>
              </w:rPr>
              <w:t>0.6901±0.0084</w:t>
            </w:r>
          </w:p>
        </w:tc>
        <w:tc>
          <w:tcPr>
            <w:tcW w:type="dxa" w:w="1234"/>
            <w:shd w:val="clear" w:color="auto" w:fill="eaf1f8"/>
          </w:tcPr>
          <w:p>
            <w:pPr>
              <w:jc w:val="center"/>
            </w:pPr>
            <w:r>
              <w:rPr>
                <w:sz w:val="16"/>
              </w:rPr>
              <w:t>0.7673±0.0058</w:t>
            </w:r>
          </w:p>
        </w:tc>
        <w:tc>
          <w:tcPr>
            <w:tcW w:type="dxa" w:w="1234"/>
            <w:shd w:val="clear" w:color="auto" w:fill="eaf1f8"/>
          </w:tcPr>
          <w:p>
            <w:pPr>
              <w:jc w:val="center"/>
            </w:pPr>
            <w:r>
              <w:rPr>
                <w:sz w:val="16"/>
              </w:rPr>
              <w:t>0.5606±0.0168</w:t>
            </w:r>
          </w:p>
        </w:tc>
        <w:tc>
          <w:tcPr>
            <w:tcW w:type="dxa" w:w="1234"/>
            <w:shd w:val="clear" w:color="auto" w:fill="eaf1f8"/>
          </w:tcPr>
          <w:p>
            <w:pPr>
              <w:jc w:val="center"/>
            </w:pPr>
            <w:r>
              <w:rPr>
                <w:sz w:val="16"/>
              </w:rPr>
              <w:t>0.7424±0.0032</w:t>
            </w:r>
          </w:p>
        </w:tc>
        <w:tc>
          <w:tcPr>
            <w:tcW w:type="dxa" w:w="1234"/>
            <w:shd w:val="clear" w:color="auto" w:fill="eaf1f8"/>
          </w:tcPr>
          <w:p>
            <w:pPr>
              <w:jc w:val="center"/>
            </w:pPr>
            <w:r>
              <w:rPr>
                <w:sz w:val="16"/>
              </w:rPr>
              <w:t>0.8552±0.0121</w:t>
            </w:r>
          </w:p>
        </w:tc>
      </w:tr>
    </w:tbl>
    <w:p>
      <w:r>
        <w:rPr>
          <w:b w:val="0"/>
          <w:i w:val="0"/>
        </w:rPr>
      </w:r>
    </w:p>
    <w:p>
      <w:r>
        <w:rPr>
          <w:b/>
          <w:i w:val="0"/>
        </w:rPr>
        <w:t>McNemar BERT vs HateBERT per seed: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a5f"/>
          </w:tcPr>
          <w:p>
            <w:pPr>
              <w:jc w:val="center"/>
            </w:pPr>
            <w:r>
              <w:rPr>
                <w:b/>
                <w:color w:val="FFFFFF"/>
                <w:sz w:val="17"/>
              </w:rPr>
              <w:t>Seed</w:t>
            </w:r>
          </w:p>
        </w:tc>
        <w:tc>
          <w:tcPr>
            <w:tcW w:type="dxa" w:w="2160"/>
            <w:shd w:val="clear" w:color="auto" w:fill="1f3a5f"/>
          </w:tcPr>
          <w:p>
            <w:pPr>
              <w:jc w:val="center"/>
            </w:pPr>
            <w:r>
              <w:rPr>
                <w:b/>
                <w:color w:val="FFFFFF"/>
                <w:sz w:val="17"/>
              </w:rPr>
              <w:t>χ²</w:t>
            </w:r>
          </w:p>
        </w:tc>
        <w:tc>
          <w:tcPr>
            <w:tcW w:type="dxa" w:w="2160"/>
            <w:shd w:val="clear" w:color="auto" w:fill="1f3a5f"/>
          </w:tcPr>
          <w:p>
            <w:pPr>
              <w:jc w:val="center"/>
            </w:pPr>
            <w:r>
              <w:rPr>
                <w:b/>
                <w:color w:val="FFFFFF"/>
                <w:sz w:val="17"/>
              </w:rPr>
              <w:t>p-value</w:t>
            </w:r>
          </w:p>
        </w:tc>
        <w:tc>
          <w:tcPr>
            <w:tcW w:type="dxa" w:w="2160"/>
            <w:shd w:val="clear" w:color="auto" w:fill="1f3a5f"/>
          </w:tcPr>
          <w:p>
            <w:pPr>
              <w:jc w:val="center"/>
            </w:pPr>
            <w:r>
              <w:rPr>
                <w:b/>
                <w:color w:val="FFFFFF"/>
                <w:sz w:val="17"/>
              </w:rPr>
              <w:t>Verdict</w:t>
            </w:r>
          </w:p>
        </w:tc>
      </w:tr>
      <w:tr>
        <w:tc>
          <w:tcPr>
            <w:tcW w:type="dxa" w:w="2160"/>
            <w:shd w:val="clear" w:color="auto" w:fill="e8f4ea"/>
          </w:tcPr>
          <w:p>
            <w:pPr>
              <w:jc w:val="center"/>
            </w:pPr>
            <w:r>
              <w:rPr>
                <w:b/>
                <w:sz w:val="17"/>
              </w:rPr>
              <w:t>seed 42</w:t>
            </w:r>
          </w:p>
        </w:tc>
        <w:tc>
          <w:tcPr>
            <w:tcW w:type="dxa" w:w="2160"/>
            <w:shd w:val="clear" w:color="auto" w:fill="e8f4ea"/>
          </w:tcPr>
          <w:p>
            <w:pPr>
              <w:jc w:val="center"/>
            </w:pPr>
            <w:r>
              <w:rPr>
                <w:sz w:val="17"/>
              </w:rPr>
              <w:t>0.033</w:t>
            </w:r>
          </w:p>
        </w:tc>
        <w:tc>
          <w:tcPr>
            <w:tcW w:type="dxa" w:w="2160"/>
            <w:shd w:val="clear" w:color="auto" w:fill="e8f4ea"/>
          </w:tcPr>
          <w:p>
            <w:pPr>
              <w:jc w:val="center"/>
            </w:pPr>
            <w:r>
              <w:rPr>
                <w:sz w:val="17"/>
              </w:rPr>
              <w:t>0.8562</w:t>
            </w:r>
          </w:p>
        </w:tc>
        <w:tc>
          <w:tcPr>
            <w:tcW w:type="dxa" w:w="2160"/>
            <w:shd w:val="clear" w:color="auto" w:fill="e8f4ea"/>
          </w:tcPr>
          <w:p>
            <w:pPr>
              <w:jc w:val="center"/>
            </w:pPr>
            <w:r>
              <w:rPr>
                <w:sz w:val="17"/>
              </w:rPr>
              <w:t>not significant (tie)</w:t>
            </w:r>
          </w:p>
        </w:tc>
      </w:tr>
      <w:tr>
        <w:tc>
          <w:tcPr>
            <w:tcW w:type="dxa" w:w="2160"/>
            <w:shd w:val="clear" w:color="auto" w:fill="e8f4ea"/>
          </w:tcPr>
          <w:p>
            <w:pPr>
              <w:jc w:val="center"/>
            </w:pPr>
            <w:r>
              <w:rPr>
                <w:b/>
                <w:sz w:val="17"/>
              </w:rPr>
              <w:t>seed 1</w:t>
            </w:r>
          </w:p>
        </w:tc>
        <w:tc>
          <w:tcPr>
            <w:tcW w:type="dxa" w:w="2160"/>
            <w:shd w:val="clear" w:color="auto" w:fill="e8f4ea"/>
          </w:tcPr>
          <w:p>
            <w:pPr>
              <w:jc w:val="center"/>
            </w:pPr>
            <w:r>
              <w:rPr>
                <w:sz w:val="17"/>
              </w:rPr>
              <w:t>0.003</w:t>
            </w:r>
          </w:p>
        </w:tc>
        <w:tc>
          <w:tcPr>
            <w:tcW w:type="dxa" w:w="2160"/>
            <w:shd w:val="clear" w:color="auto" w:fill="e8f4ea"/>
          </w:tcPr>
          <w:p>
            <w:pPr>
              <w:jc w:val="center"/>
            </w:pPr>
            <w:r>
              <w:rPr>
                <w:sz w:val="17"/>
              </w:rPr>
              <w:t>0.9574</w:t>
            </w:r>
          </w:p>
        </w:tc>
        <w:tc>
          <w:tcPr>
            <w:tcW w:type="dxa" w:w="2160"/>
            <w:shd w:val="clear" w:color="auto" w:fill="e8f4ea"/>
          </w:tcPr>
          <w:p>
            <w:pPr>
              <w:jc w:val="center"/>
            </w:pPr>
            <w:r>
              <w:rPr>
                <w:sz w:val="17"/>
              </w:rPr>
              <w:t>not significant (tie)</w:t>
            </w:r>
          </w:p>
        </w:tc>
      </w:tr>
      <w:tr>
        <w:tc>
          <w:tcPr>
            <w:tcW w:type="dxa" w:w="2160"/>
            <w:shd w:val="clear" w:color="auto" w:fill="e8f4ea"/>
          </w:tcPr>
          <w:p>
            <w:pPr>
              <w:jc w:val="center"/>
            </w:pPr>
            <w:r>
              <w:rPr>
                <w:b/>
                <w:sz w:val="17"/>
              </w:rPr>
              <w:t>seed 2</w:t>
            </w:r>
          </w:p>
        </w:tc>
        <w:tc>
          <w:tcPr>
            <w:tcW w:type="dxa" w:w="2160"/>
            <w:shd w:val="clear" w:color="auto" w:fill="e8f4ea"/>
          </w:tcPr>
          <w:p>
            <w:pPr>
              <w:jc w:val="center"/>
            </w:pPr>
            <w:r>
              <w:rPr>
                <w:sz w:val="17"/>
              </w:rPr>
              <w:t>1.458</w:t>
            </w:r>
          </w:p>
        </w:tc>
        <w:tc>
          <w:tcPr>
            <w:tcW w:type="dxa" w:w="2160"/>
            <w:shd w:val="clear" w:color="auto" w:fill="e8f4ea"/>
          </w:tcPr>
          <w:p>
            <w:pPr>
              <w:jc w:val="center"/>
            </w:pPr>
            <w:r>
              <w:rPr>
                <w:sz w:val="17"/>
              </w:rPr>
              <w:t>0.2272</w:t>
            </w:r>
          </w:p>
        </w:tc>
        <w:tc>
          <w:tcPr>
            <w:tcW w:type="dxa" w:w="2160"/>
            <w:shd w:val="clear" w:color="auto" w:fill="e8f4ea"/>
          </w:tcPr>
          <w:p>
            <w:pPr>
              <w:jc w:val="center"/>
            </w:pPr>
            <w:r>
              <w:rPr>
                <w:sz w:val="17"/>
              </w:rPr>
              <w:t>not significant (tie)</w:t>
            </w:r>
          </w:p>
        </w:tc>
      </w:tr>
    </w:tbl>
    <w:p>
      <w:pPr>
        <w:jc w:val="center"/>
      </w:pPr>
      <w:r>
        <w:drawing>
          <wp:inline xmlns:a="http://schemas.openxmlformats.org/drawingml/2006/main" xmlns:pic="http://schemas.openxmlformats.org/drawingml/2006/picture">
            <wp:extent cx="5760720" cy="2850286"/>
            <wp:docPr id="3" name="Picture 3"/>
            <wp:cNvGraphicFramePr>
              <a:graphicFrameLocks noChangeAspect="1"/>
            </wp:cNvGraphicFramePr>
            <a:graphic>
              <a:graphicData uri="http://schemas.openxmlformats.org/drawingml/2006/picture">
                <pic:pic>
                  <pic:nvPicPr>
                    <pic:cNvPr id="0" name="table1_classification_multiseed.png"/>
                    <pic:cNvPicPr/>
                  </pic:nvPicPr>
                  <pic:blipFill>
                    <a:blip r:embed="rId11"/>
                    <a:stretch>
                      <a:fillRect/>
                    </a:stretch>
                  </pic:blipFill>
                  <pic:spPr>
                    <a:xfrm>
                      <a:off x="0" y="0"/>
                      <a:ext cx="5760720" cy="2850286"/>
                    </a:xfrm>
                    <a:prstGeom prst="rect"/>
                  </pic:spPr>
                </pic:pic>
              </a:graphicData>
            </a:graphic>
          </wp:inline>
        </w:drawing>
      </w:r>
    </w:p>
    <w:p>
      <w:pPr>
        <w:jc w:val="center"/>
      </w:pPr>
      <w:r>
        <w:rPr>
          <w:i/>
          <w:color w:val="1F3A5F"/>
          <w:sz w:val="18"/>
        </w:rPr>
        <w:t>Graph (Exp 3) — Per-class scores as mean ± std bars over seeds. BERT and HateBERT overlap within error bars on every metric.</w:t>
      </w:r>
    </w:p>
    <w:p>
      <w:r>
        <w:rPr>
          <w:b/>
          <w:color w:val="1E8449"/>
        </w:rPr>
        <w:t xml:space="preserve">Kya result mila: </w:t>
      </w:r>
      <w:r>
        <w:t>The non-significant BERT≈HateBERT tie HOLDS on all three seeds (p = 0.86, 0.96, 0.23). Standard deviations are tiny, so the single-run conclusions were stable. HateBERT's small macro-F1 edge (~0.0026) is consistent but never statistically significant — building the framework on standard BERT is fully justified.</w:t>
      </w:r>
    </w:p>
    <w:p>
      <w:pPr>
        <w:pStyle w:val="Heading1"/>
      </w:pPr>
      <w:r>
        <w:rPr>
          <w:color w:val="1F3A5F"/>
        </w:rPr>
        <w:t>Experiment 4 — Out-of-distribution: does the model (and its explanations) transfer to a new dataset?</w:t>
      </w:r>
    </w:p>
    <w:p>
      <w:r>
        <w:rPr>
          <w:b/>
          <w:color w:val="1F3A5F"/>
        </w:rPr>
        <w:t xml:space="preserve">Kya kiya: </w:t>
      </w:r>
      <w:r>
        <w:t>We took the HateXplain-trained BERT AS-IS (zero-shot, no retraining) and tested it on an external dataset — Davidson et al. 2017 (24,783 tweets) — then ran SHAP on 100 out-of-distribution posts to see if the same slur-focused explanation pattern appears.</w:t>
      </w:r>
    </w:p>
    <w:p>
      <w:r>
        <w:rPr>
          <w:b/>
          <w:color w:val="1F3A5F"/>
        </w:rPr>
        <w:t xml:space="preserve">Kyu kiya: </w:t>
      </w:r>
      <w:r>
        <w:t>Reviewer: 'evaluation is on a single dataset.' A second, differently-annotated dataset tests real-world generalisation of both the predictions and the explanations.</w:t>
      </w:r>
    </w:p>
    <w:p>
      <w:r>
        <w:rPr>
          <w:b/>
          <w:color w:val="1F3A5F"/>
        </w:rPr>
        <w:t xml:space="preserve">Kya hua: </w:t>
      </w:r>
      <w:r>
        <w:t>The model scored all 24,783 posts and produced attributions on 100 of them without error.</w:t>
      </w:r>
    </w:p>
    <w:p>
      <w:r>
        <w:rPr>
          <w:b/>
          <w:i w:val="0"/>
        </w:rPr>
        <w:t>Results table — zero-shot OOD performance (Davidson 2017):</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3a5f"/>
          </w:tcPr>
          <w:p>
            <w:pPr>
              <w:jc w:val="center"/>
            </w:pPr>
            <w:r>
              <w:rPr>
                <w:b/>
                <w:color w:val="FFFFFF"/>
                <w:sz w:val="17"/>
              </w:rPr>
              <w:t>Metric</w:t>
            </w:r>
          </w:p>
        </w:tc>
        <w:tc>
          <w:tcPr>
            <w:tcW w:type="dxa" w:w="4320"/>
            <w:shd w:val="clear" w:color="auto" w:fill="1f3a5f"/>
          </w:tcPr>
          <w:p>
            <w:pPr>
              <w:jc w:val="center"/>
            </w:pPr>
            <w:r>
              <w:rPr>
                <w:b/>
                <w:color w:val="FFFFFF"/>
                <w:sz w:val="17"/>
              </w:rPr>
              <w:t>Value</w:t>
            </w:r>
          </w:p>
        </w:tc>
      </w:tr>
      <w:tr>
        <w:tc>
          <w:tcPr>
            <w:tcW w:type="dxa" w:w="4320"/>
          </w:tcPr>
          <w:p>
            <w:pPr>
              <w:jc w:val="center"/>
            </w:pPr>
            <w:r>
              <w:rPr>
                <w:b/>
                <w:sz w:val="17"/>
              </w:rPr>
              <w:t>Accuracy</w:t>
            </w:r>
          </w:p>
        </w:tc>
        <w:tc>
          <w:tcPr>
            <w:tcW w:type="dxa" w:w="4320"/>
          </w:tcPr>
          <w:p>
            <w:pPr>
              <w:jc w:val="center"/>
            </w:pPr>
            <w:r>
              <w:rPr>
                <w:sz w:val="17"/>
              </w:rPr>
              <w:t>0.5829</w:t>
            </w:r>
          </w:p>
        </w:tc>
      </w:tr>
      <w:tr>
        <w:tc>
          <w:tcPr>
            <w:tcW w:type="dxa" w:w="4320"/>
          </w:tcPr>
          <w:p>
            <w:pPr>
              <w:jc w:val="center"/>
            </w:pPr>
            <w:r>
              <w:rPr>
                <w:b/>
                <w:sz w:val="17"/>
              </w:rPr>
              <w:t>Macro-F1</w:t>
            </w:r>
          </w:p>
        </w:tc>
        <w:tc>
          <w:tcPr>
            <w:tcW w:type="dxa" w:w="4320"/>
          </w:tcPr>
          <w:p>
            <w:pPr>
              <w:jc w:val="center"/>
            </w:pPr>
            <w:r>
              <w:rPr>
                <w:sz w:val="17"/>
              </w:rPr>
              <w:t>0.4834</w:t>
            </w:r>
          </w:p>
        </w:tc>
      </w:tr>
      <w:tr>
        <w:tc>
          <w:tcPr>
            <w:tcW w:type="dxa" w:w="4320"/>
          </w:tcPr>
          <w:p>
            <w:pPr>
              <w:jc w:val="center"/>
            </w:pPr>
            <w:r>
              <w:rPr>
                <w:b/>
                <w:sz w:val="17"/>
              </w:rPr>
              <w:t>Hate-F1</w:t>
            </w:r>
          </w:p>
        </w:tc>
        <w:tc>
          <w:tcPr>
            <w:tcW w:type="dxa" w:w="4320"/>
          </w:tcPr>
          <w:p>
            <w:pPr>
              <w:jc w:val="center"/>
            </w:pPr>
            <w:r>
              <w:rPr>
                <w:sz w:val="17"/>
              </w:rPr>
              <w:t>0.3285</w:t>
            </w:r>
          </w:p>
        </w:tc>
      </w:tr>
      <w:tr>
        <w:tc>
          <w:tcPr>
            <w:tcW w:type="dxa" w:w="4320"/>
          </w:tcPr>
          <w:p>
            <w:pPr>
              <w:jc w:val="center"/>
            </w:pPr>
            <w:r>
              <w:rPr>
                <w:b/>
                <w:sz w:val="17"/>
              </w:rPr>
              <w:t>Offensive-F1</w:t>
            </w:r>
          </w:p>
        </w:tc>
        <w:tc>
          <w:tcPr>
            <w:tcW w:type="dxa" w:w="4320"/>
          </w:tcPr>
          <w:p>
            <w:pPr>
              <w:jc w:val="center"/>
            </w:pPr>
            <w:r>
              <w:rPr>
                <w:sz w:val="17"/>
              </w:rPr>
              <w:t>0.6784</w:t>
            </w:r>
          </w:p>
        </w:tc>
      </w:tr>
      <w:tr>
        <w:tc>
          <w:tcPr>
            <w:tcW w:type="dxa" w:w="4320"/>
          </w:tcPr>
          <w:p>
            <w:pPr>
              <w:jc w:val="center"/>
            </w:pPr>
            <w:r>
              <w:rPr>
                <w:b/>
                <w:sz w:val="17"/>
              </w:rPr>
              <w:t>Normal-F1</w:t>
            </w:r>
          </w:p>
        </w:tc>
        <w:tc>
          <w:tcPr>
            <w:tcW w:type="dxa" w:w="4320"/>
          </w:tcPr>
          <w:p>
            <w:pPr>
              <w:jc w:val="center"/>
            </w:pPr>
            <w:r>
              <w:rPr>
                <w:sz w:val="17"/>
              </w:rPr>
              <w:t>0.4434</w:t>
            </w:r>
          </w:p>
        </w:tc>
      </w:tr>
      <w:tr>
        <w:tc>
          <w:tcPr>
            <w:tcW w:type="dxa" w:w="4320"/>
          </w:tcPr>
          <w:p>
            <w:pPr>
              <w:jc w:val="center"/>
            </w:pPr>
            <w:r>
              <w:rPr>
                <w:b/>
                <w:sz w:val="17"/>
              </w:rPr>
              <w:t>AUC</w:t>
            </w:r>
          </w:p>
        </w:tc>
        <w:tc>
          <w:tcPr>
            <w:tcW w:type="dxa" w:w="4320"/>
          </w:tcPr>
          <w:p>
            <w:pPr>
              <w:jc w:val="center"/>
            </w:pPr>
            <w:r>
              <w:rPr>
                <w:sz w:val="17"/>
              </w:rPr>
              <w:t>0.8018</w:t>
            </w:r>
          </w:p>
        </w:tc>
      </w:tr>
    </w:tbl>
    <w:p>
      <w:r>
        <w:rPr>
          <w:b w:val="0"/>
          <w:i w:val="0"/>
        </w:rPr>
      </w:r>
    </w:p>
    <w:p>
      <w:r>
        <w:rPr>
          <w:b/>
          <w:color w:val="1F3A5F"/>
        </w:rPr>
        <w:t xml:space="preserve">Explanation transfer: </w:t>
      </w:r>
      <w:r>
        <w:t>in 41 slur-bearing OOD posts, a slur was a top-3 SHAP word in 29 of them = 71%.</w:t>
      </w:r>
    </w:p>
    <w:p>
      <w:pPr>
        <w:jc w:val="center"/>
      </w:pPr>
      <w:r>
        <w:drawing>
          <wp:inline xmlns:a="http://schemas.openxmlformats.org/drawingml/2006/main" xmlns:pic="http://schemas.openxmlformats.org/drawingml/2006/picture">
            <wp:extent cx="5486400" cy="2956902"/>
            <wp:docPr id="4" name="Picture 4"/>
            <wp:cNvGraphicFramePr>
              <a:graphicFrameLocks noChangeAspect="1"/>
            </wp:cNvGraphicFramePr>
            <a:graphic>
              <a:graphicData uri="http://schemas.openxmlformats.org/drawingml/2006/picture">
                <pic:pic>
                  <pic:nvPicPr>
                    <pic:cNvPr id="0" name="ood_examples.png"/>
                    <pic:cNvPicPr/>
                  </pic:nvPicPr>
                  <pic:blipFill>
                    <a:blip r:embed="rId12"/>
                    <a:stretch>
                      <a:fillRect/>
                    </a:stretch>
                  </pic:blipFill>
                  <pic:spPr>
                    <a:xfrm>
                      <a:off x="0" y="0"/>
                      <a:ext cx="5486400" cy="2956902"/>
                    </a:xfrm>
                    <a:prstGeom prst="rect"/>
                  </pic:spPr>
                </pic:pic>
              </a:graphicData>
            </a:graphic>
          </wp:inline>
        </w:drawing>
      </w:r>
    </w:p>
    <w:p>
      <w:pPr>
        <w:jc w:val="center"/>
      </w:pPr>
      <w:r>
        <w:rPr>
          <w:i/>
          <w:color w:val="1F3A5F"/>
          <w:sz w:val="18"/>
        </w:rPr>
        <w:t>Graph (Exp 4) — SHAP attributions on Davidson (OOD) example posts; red bars = words pushing toward 'hate'. The model still latches onto slurs on a dataset it never trained on.</w:t>
      </w:r>
    </w:p>
    <w:p>
      <w:r>
        <w:rPr>
          <w:b/>
          <w:color w:val="1E8449"/>
        </w:rPr>
        <w:t xml:space="preserve">Kya result mila: </w:t>
      </w:r>
      <w:r>
        <w:t>Performance drops as expected zero-shot (in-domain macro-F1 ≈0.683 → OOD 0.483), but AUC stays high (0.802) — the model's RANKING ability transfers; only the calibrated thresholds don't. Crucially, the slur-centric explanation pattern transfers strongly (~71%), proving the explanations are a genuine property of hate speech, not a HateXplain artifact. The main error (offensive→normal) reflects Davidson's different annotation scheme.</w:t>
      </w:r>
    </w:p>
    <w:p>
      <w:pPr>
        <w:pStyle w:val="Heading1"/>
      </w:pPr>
      <w:r>
        <w:rPr>
          <w:color w:val="1F3A5F"/>
        </w:rPr>
        <w:t>Overall Summary — what changed for the paper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f3a5f"/>
          </w:tcPr>
          <w:p>
            <w:pPr>
              <w:jc w:val="center"/>
            </w:pPr>
            <w:r>
              <w:rPr>
                <w:b/>
                <w:color w:val="FFFFFF"/>
                <w:sz w:val="18"/>
              </w:rPr>
              <w:t>Experiment</w:t>
            </w:r>
          </w:p>
        </w:tc>
        <w:tc>
          <w:tcPr>
            <w:tcW w:type="dxa" w:w="2880"/>
            <w:shd w:val="clear" w:color="auto" w:fill="1f3a5f"/>
          </w:tcPr>
          <w:p>
            <w:pPr>
              <w:jc w:val="center"/>
            </w:pPr>
            <w:r>
              <w:rPr>
                <w:b/>
                <w:color w:val="FFFFFF"/>
                <w:sz w:val="18"/>
              </w:rPr>
              <w:t>Reviewer concern</w:t>
            </w:r>
          </w:p>
        </w:tc>
        <w:tc>
          <w:tcPr>
            <w:tcW w:type="dxa" w:w="2880"/>
            <w:shd w:val="clear" w:color="auto" w:fill="1f3a5f"/>
          </w:tcPr>
          <w:p>
            <w:pPr>
              <w:jc w:val="center"/>
            </w:pPr>
            <w:r>
              <w:rPr>
                <w:b/>
                <w:color w:val="FFFFFF"/>
                <w:sz w:val="18"/>
              </w:rPr>
              <w:t>What we found</w:t>
            </w:r>
          </w:p>
        </w:tc>
      </w:tr>
      <w:tr>
        <w:tc>
          <w:tcPr>
            <w:tcW w:type="dxa" w:w="2880"/>
          </w:tcPr>
          <w:p>
            <w:pPr>
              <w:jc w:val="center"/>
            </w:pPr>
            <w:r>
              <w:rPr>
                <w:b/>
                <w:sz w:val="18"/>
              </w:rPr>
              <w:t>1. Fusion ablation</w:t>
            </w:r>
          </w:p>
        </w:tc>
        <w:tc>
          <w:tcPr>
            <w:tcW w:type="dxa" w:w="2880"/>
          </w:tcPr>
          <w:p>
            <w:pPr>
              <w:jc w:val="center"/>
            </w:pPr>
            <w:r>
              <w:rPr>
                <w:sz w:val="18"/>
              </w:rPr>
              <w:t>Is a smarter fusion better?</w:t>
            </w:r>
          </w:p>
        </w:tc>
        <w:tc>
          <w:tcPr>
            <w:tcW w:type="dxa" w:w="2880"/>
          </w:tcPr>
          <w:p>
            <w:pPr>
              <w:jc w:val="center"/>
            </w:pPr>
            <w:r>
              <w:rPr>
                <w:sz w:val="18"/>
              </w:rPr>
              <w:t>No fusion wins both axes; mean_zscore is a free upgrade; reviewer's 'attention dominates' premise disproved.</w:t>
            </w:r>
          </w:p>
        </w:tc>
      </w:tr>
      <w:tr>
        <w:tc>
          <w:tcPr>
            <w:tcW w:type="dxa" w:w="2880"/>
          </w:tcPr>
          <w:p>
            <w:pPr>
              <w:jc w:val="center"/>
            </w:pPr>
            <w:r>
              <w:rPr>
                <w:b/>
                <w:sz w:val="18"/>
              </w:rPr>
              <w:t>2a. Larger-n (1,141)</w:t>
            </w:r>
          </w:p>
        </w:tc>
        <w:tc>
          <w:tcPr>
            <w:tcW w:type="dxa" w:w="2880"/>
          </w:tcPr>
          <w:p>
            <w:pPr>
              <w:jc w:val="center"/>
            </w:pPr>
            <w:r>
              <w:rPr>
                <w:sz w:val="18"/>
              </w:rPr>
              <w:t>Is n=300 enough?</w:t>
            </w:r>
          </w:p>
        </w:tc>
        <w:tc>
          <w:tcPr>
            <w:tcW w:type="dxa" w:w="2880"/>
          </w:tcPr>
          <w:p>
            <w:pPr>
              <w:jc w:val="center"/>
            </w:pPr>
            <w:r>
              <w:rPr>
                <w:sz w:val="18"/>
              </w:rPr>
              <w:t>CIs ~3x tighter, scores higher, all conclusions hold.</w:t>
            </w:r>
          </w:p>
        </w:tc>
      </w:tr>
      <w:tr>
        <w:tc>
          <w:tcPr>
            <w:tcW w:type="dxa" w:w="2880"/>
          </w:tcPr>
          <w:p>
            <w:pPr>
              <w:jc w:val="center"/>
            </w:pPr>
            <w:r>
              <w:rPr>
                <w:b/>
                <w:sz w:val="18"/>
              </w:rPr>
              <w:t>2b. Threshold sweep</w:t>
            </w:r>
          </w:p>
        </w:tc>
        <w:tc>
          <w:tcPr>
            <w:tcW w:type="dxa" w:w="2880"/>
          </w:tcPr>
          <w:p>
            <w:pPr>
              <w:jc w:val="center"/>
            </w:pPr>
            <w:r>
              <w:rPr>
                <w:sz w:val="18"/>
              </w:rPr>
              <w:t>Why cosine 0.70?</w:t>
            </w:r>
          </w:p>
        </w:tc>
        <w:tc>
          <w:tcPr>
            <w:tcW w:type="dxa" w:w="2880"/>
          </w:tcPr>
          <w:p>
            <w:pPr>
              <w:jc w:val="center"/>
            </w:pPr>
            <w:r>
              <w:rPr>
                <w:sz w:val="18"/>
              </w:rPr>
              <w:t>0.70 maximises modularity over 0.50–0.85 → confirmed.</w:t>
            </w:r>
          </w:p>
        </w:tc>
      </w:tr>
      <w:tr>
        <w:tc>
          <w:tcPr>
            <w:tcW w:type="dxa" w:w="2880"/>
          </w:tcPr>
          <w:p>
            <w:pPr>
              <w:jc w:val="center"/>
            </w:pPr>
            <w:r>
              <w:rPr>
                <w:b/>
                <w:sz w:val="18"/>
              </w:rPr>
              <w:t>3. Multi-seed</w:t>
            </w:r>
          </w:p>
        </w:tc>
        <w:tc>
          <w:tcPr>
            <w:tcW w:type="dxa" w:w="2880"/>
          </w:tcPr>
          <w:p>
            <w:pPr>
              <w:jc w:val="center"/>
            </w:pPr>
            <w:r>
              <w:rPr>
                <w:sz w:val="18"/>
              </w:rPr>
              <w:t>Is BERT≈HateBERT a fluke?</w:t>
            </w:r>
          </w:p>
        </w:tc>
        <w:tc>
          <w:tcPr>
            <w:tcW w:type="dxa" w:w="2880"/>
          </w:tcPr>
          <w:p>
            <w:pPr>
              <w:jc w:val="center"/>
            </w:pPr>
            <w:r>
              <w:rPr>
                <w:sz w:val="18"/>
              </w:rPr>
              <w:t>Tie holds on all 3 seeds (p=0.86/0.96/0.23); std tiny.</w:t>
            </w:r>
          </w:p>
        </w:tc>
      </w:tr>
      <w:tr>
        <w:tc>
          <w:tcPr>
            <w:tcW w:type="dxa" w:w="2880"/>
          </w:tcPr>
          <w:p>
            <w:pPr>
              <w:jc w:val="center"/>
            </w:pPr>
            <w:r>
              <w:rPr>
                <w:b/>
                <w:sz w:val="18"/>
              </w:rPr>
              <w:t>4. OOD (Davidson)</w:t>
            </w:r>
          </w:p>
        </w:tc>
        <w:tc>
          <w:tcPr>
            <w:tcW w:type="dxa" w:w="2880"/>
          </w:tcPr>
          <w:p>
            <w:pPr>
              <w:jc w:val="center"/>
            </w:pPr>
            <w:r>
              <w:rPr>
                <w:sz w:val="18"/>
              </w:rPr>
              <w:t>Does it generalise?</w:t>
            </w:r>
          </w:p>
        </w:tc>
        <w:tc>
          <w:tcPr>
            <w:tcW w:type="dxa" w:w="2880"/>
          </w:tcPr>
          <w:p>
            <w:pPr>
              <w:jc w:val="center"/>
            </w:pPr>
            <w:r>
              <w:rPr>
                <w:sz w:val="18"/>
              </w:rPr>
              <w:t>Expected accuracy drop but AUC 0.80; explanations transfer ~71%.</w:t>
            </w:r>
          </w:p>
        </w:tc>
      </w:tr>
    </w:tbl>
    <w:p>
      <w:r>
        <w:rPr>
          <w:b w:val="0"/>
          <w:i w:val="0"/>
        </w:rPr>
      </w:r>
    </w:p>
    <w:p>
      <w:r>
        <w:rPr>
          <w:b/>
          <w:i w:val="0"/>
          <w:color w:val="C0392B"/>
        </w:rPr>
        <w:t>Two honest notes for the manuscript:</w:t>
      </w:r>
    </w:p>
    <w:p>
      <w:pPr>
        <w:pStyle w:val="ListBullet"/>
      </w:pPr>
      <w:r>
        <w:t>The reviewer's idea that attention dominates the min-max mean (via L1 mass) is empirically false — SHAP has the largest mass. The real reason no fusion dominates is the plausibility↔faithfulness trade-off. Frame the contribution as BALANCE, not superiority.</w:t>
      </w:r>
    </w:p>
    <w:p>
      <w:pPr>
        <w:pStyle w:val="ListBullet"/>
      </w:pPr>
      <w:r>
        <w:t>mean_zscore is a small, principled, statistically-significant improvement over the current mean_minmax on faithfulness at no plausibility cost — worth adopting as the default 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