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Astrology AI Decision Support:</w:t>
        <w:br/>
        <w:t>An Expert System Approach to Personal Decision-Making</w:t>
      </w:r>
    </w:p>
    <w:p/>
    <w:p>
      <w:pPr>
        <w:jc w:val="center"/>
      </w:pPr>
      <w:r>
        <w:t>[Your Name]</w:t>
        <w:br/>
      </w:r>
      <w:r>
        <w:t>Colorado State University Global</w:t>
        <w:br/>
      </w:r>
      <w:r>
        <w:t>CSC510: Artificial Intelligence</w:t>
        <w:br/>
      </w:r>
      <w:r>
        <w:t>[Instructor Name]</w:t>
        <w:br/>
      </w:r>
      <w:r>
        <w:t>March 9, 2026</w:t>
      </w:r>
    </w:p>
    <w:p>
      <w:r>
        <w:br w:type="page"/>
      </w:r>
    </w:p>
    <w:p>
      <w:pPr>
        <w:jc w:val="center"/>
      </w:pPr>
      <w:r>
        <w:rPr>
          <w:b/>
          <w:sz w:val="24"/>
        </w:rPr>
        <w:t>Astrology AI Decision Support:</w:t>
        <w:br/>
        <w:t>An Expert System Approach to Personal Decision-Making</w:t>
      </w:r>
    </w:p>
    <w:p/>
    <w:p>
      <w:pPr>
        <w:pStyle w:val="Heading1"/>
      </w:pPr>
      <w:r>
        <w:rPr>
          <w:sz w:val="24"/>
        </w:rPr>
        <w:t>Introduction and Problem Statement</w:t>
      </w:r>
    </w:p>
    <w:p>
      <w:pPr>
        <w:ind w:firstLine="720"/>
      </w:pPr>
      <w:r>
        <w:t>Modern individuals face complex personal decisions spanning career transitions, relationship commitments, financial planning, and family considerations. While these decisions benefit from structured analysis, many people lack systematic frameworks to organize their thinking. This project develops an AI-powered decision-support assistant that combines symbolic reasoning, expert system principles, and intelligent search methods to help users think through important life choices. The Astrology AI Decision Support Assistant is a fully-functioning Python program that accepts natural language input, identifies decision contexts, and delivers structured guidance based on transparent, traceable reasoning processes. The system serves as a reflective tool rather than claiming predictive capability, helping users organize thoughts, identify critical factors, and develop actionable next steps.</w:t>
      </w:r>
    </w:p>
    <w:p>
      <w:pPr>
        <w:pStyle w:val="Heading1"/>
      </w:pPr>
      <w:r>
        <w:rPr>
          <w:sz w:val="24"/>
        </w:rPr>
        <w:t>Tools, Libraries, and APIs Utilized</w:t>
      </w:r>
    </w:p>
    <w:p>
      <w:pPr>
        <w:ind w:firstLine="720"/>
      </w:pPr>
      <w:r>
        <w:t>The system integrates custom implementations with standard libraries and external services. Three data structures were implemented from scratch: HashTable (models/hash_table.py) for session memory with O(1) insertion/retrieval, Set (models/set_operations.py) for keyword overlap calculations in intent detection, and QuickSelect (models/sorting.py) for O(n) ranking of recommendation candidates. Python's collections.deque supports breadth-first search queue operations, while heapq enables A* priority queue management. The datetime module handles birth date normalization and zodiac calculation, and regular expressions tokenize user statements. Flask 3.0.0 provides web framework capabilities with RESTful API endpoints and browser interface. The OpenStreetMap Nominatim API converts birth locations to geographic coordinates, demonstrating external service integration (OpenStreetMap Foundation, n.d.).</w:t>
      </w:r>
    </w:p>
    <w:p>
      <w:pPr>
        <w:pStyle w:val="Heading1"/>
      </w:pPr>
      <w:r>
        <w:rPr>
          <w:sz w:val="24"/>
        </w:rPr>
        <w:t>Search Methods and Their Contribution</w:t>
      </w:r>
    </w:p>
    <w:p>
      <w:pPr>
        <w:ind w:firstLine="720"/>
      </w:pPr>
      <w:r>
        <w:t>Intelligent search forms the core of the symbolic planning subsystem. The breadth-first search implementation (astrology_ai.py, lines 257-282) explores decision-state graphs level by level, guaranteeing shortest paths from "start" to "decision_ready" goal states. BFS uses deque-based queues and visited sets to prevent cycles, ensuring users receive direct paths without unnecessary steps. For example, a general decision follows: start → clarify_goal → collect_facts → evaluate_tradeoffs → decision_ready.</w:t>
      </w:r>
    </w:p>
    <w:p>
      <w:pPr>
        <w:ind w:firstLine="720"/>
      </w:pPr>
      <w:r>
        <w:t>The A* algorithm (lines 285-322) enhances efficiency through heuristic guidance. Maintaining priority queues ordered by f(n) = g(n) + h(n), where g represents actual cost and h estimates remaining cost to goal, A* expands fewer nodes than BFS in complex graphs. The heuristic function (lines 227-254) assigns distances based on state semantics: "timeline_plan" = 1, "decision_ready" = 0, "start" = 4. This admissible heuristic ensures optimality while reducing search effort (Hart, Nilsson, &amp; Raphael, 1968). For family planning scenarios with specialized states like "partner_alignment" and "financial_readiness," A* typically expands 5-7 nodes versus BFS's 8-10 nodes. Both methods execute for comparison, with outputs showing node counts and visited sequences, providing transparency into algorithmic decision-making.</w:t>
      </w:r>
    </w:p>
    <w:p>
      <w:pPr>
        <w:pStyle w:val="Heading1"/>
      </w:pPr>
      <w:r>
        <w:rPr>
          <w:sz w:val="24"/>
        </w:rPr>
        <w:t>Deep Learning Considerations</w:t>
      </w:r>
    </w:p>
    <w:p>
      <w:pPr>
        <w:ind w:firstLine="720"/>
      </w:pPr>
      <w:r>
        <w:t>This implementation deliberately excludes deep learning models based on three factors: explainability requirements, computational efficiency, and course alignment. Deep neural networks function as "black boxes" where input-output relationships emerge from learned weights, making it difficult to explain specific recommendations (Russell &amp; Norvig, 2021). The rule-based approach allows every recommendation to trace back to explicit rules and keyword matches that users can inspect. The system operates as lightweight software requiring no GPU or pre-trained models, ensuring accessibility on standard hardware. The project emphasizes classical AI—search algorithms, expert systems, symbolic planning—demonstrating mastery across multiple course modules rather than focusing solely on statistical methods. Future versions could integrate supervised classifiers for improved intent detection while maintaining the transparent symbolic reasoning core.</w:t>
      </w:r>
    </w:p>
    <w:p>
      <w:pPr>
        <w:pStyle w:val="Heading1"/>
      </w:pPr>
      <w:r>
        <w:rPr>
          <w:sz w:val="24"/>
        </w:rPr>
        <w:t>Expert System Architecture</w:t>
      </w:r>
    </w:p>
    <w:p>
      <w:pPr>
        <w:ind w:firstLine="720"/>
      </w:pPr>
      <w:r>
        <w:t>The system directly implements expert system principles with knowledge base, inference engine, and working memory components (Giarratano &amp; Riley, 2005). The knowledge base comprises multiple symbol tables: SIGN_PROFILES encodes twelve zodiac archetypes with elements, modalities, strengths, and cautions; INTENT_KEYWORDS maps vocabulary to decision contexts; ELEMENT_GUIDANCE provides 24 situation-specific advice templates; and TOPIC_HINTS extends semantic coverage with multi-word phrases. The EXPERT_RULES table (lines 152-175) encodes condition-conclusion relationships. Rule R1 states: "IF intent = family THEN include partner alignment, health readiness, and timeline checks" (weight: 8). Rule R3: "IF confidence ≤ 50% THEN collect additional data before committing" (weight: 7).</w:t>
      </w:r>
    </w:p>
    <w:p>
      <w:pPr>
        <w:ind w:firstLine="720"/>
      </w:pPr>
      <w:r>
        <w:t>The evaluate_expert_rules() function implements forward-chaining inference, examining rule conditions against current context (intent, element, confidence). When conditions match, rules fire, adding weighted conclusions to recommendation pools. The HashTable-based working memory tracks detected intents across session interactions, enabling pattern recognition. The session_pattern() function identifies recurring themes, informing users when they repeatedly query the same domain, mirroring how expert systems track evolving reasoning states (Luger, 2009).</w:t>
      </w:r>
    </w:p>
    <w:p>
      <w:pPr>
        <w:pStyle w:val="Heading1"/>
      </w:pPr>
      <w:r>
        <w:rPr>
          <w:sz w:val="24"/>
        </w:rPr>
        <w:t>Knowledge Representation Methods</w:t>
      </w:r>
    </w:p>
    <w:p>
      <w:pPr>
        <w:ind w:firstLine="720"/>
      </w:pPr>
      <w:r>
        <w:t>Knowledge representation employs multiple complementary structures (Russell &amp; Norvig, 2021). Symbol tables use Python dictionaries for O(1) lookup of zodiac profiles, intent keywords, and guidance templates. ELEMENT_GUIDANCE's nested structure represents the element × intent cross-product with 24 distinct advice patterns. Symbolic decision graphs use adjacency lists where nodes are decision states and edges are actions. The build_symbolic_graph() function constructs intent-specific graphs: family planning includes "partner_alignment" → "health_readiness" → "financial_readiness" paths, while career decisions flow through "market_scan" → "skills_gap" → "timeline_plan." Set-based representations compute intent alignment through intersection operations: user token set U ∩ intent keyword set K_intent quantifies semantic overlap. Session memory uses HashTable key-value storage with intent labels as keys and occurrence counts as values, enabling frequency-based pattern detection. Output structures use nested dictionaries capturing all reasoning artifacts for transparency and multi-format consumption.</w:t>
      </w:r>
    </w:p>
    <w:p>
      <w:pPr>
        <w:pStyle w:val="Heading1"/>
      </w:pPr>
      <w:r>
        <w:rPr>
          <w:sz w:val="24"/>
        </w:rPr>
        <w:t>Symbolic Planning Implementation</w:t>
      </w:r>
    </w:p>
    <w:p>
      <w:pPr>
        <w:ind w:firstLine="720"/>
      </w:pPr>
      <w:r>
        <w:t>Symbolic planning converts abstract decision queries into sequential action plans. State spaces begin at "start" and terminate at "decision_ready," with intermediate states representing analytical milestones. Health decisions progress through "symptom_log" → "professional_check" → "habit_plan," while career decisions follow "market_scan" → "skills_gap" → "timeline_plan." This decomposition mirrors STRIPS-style subgoal planning (Russell &amp; Norvig, 2021).</w:t>
      </w:r>
    </w:p>
    <w:p>
      <w:pPr>
        <w:ind w:firstLine="720"/>
      </w:pPr>
      <w:r>
        <w:t>Both BFS and A* search execute for comparison. BFS explores level-by-level, guaranteeing shortest paths; A* uses heuristics estimating remaining cost (e.g., "timeline_plan" = 1, "start" = 4), reducing node expansions. For complex family planning graphs, A* typically expands 5-7 nodes versus BFS's 8-10. The system selects A*'s result when successful, falling back to BFS for robustness. Outputs include node expansion counts and action sequences, transforming questions like "Should we have a baby?" into checklists: "Discuss expectations with partner → Review health with professional → Check budget readiness → Create 6-12 month timeline." This cognitive planning application demonstrates how search algorithms generalize beyond spatial navigation (Hart, Nilsson, &amp; Raphael, 1968).</w:t>
      </w:r>
    </w:p>
    <w:p>
      <w:pPr>
        <w:pStyle w:val="Heading1"/>
      </w:pPr>
      <w:r>
        <w:rPr>
          <w:sz w:val="24"/>
        </w:rPr>
        <w:t>Results, Limitations, and Future Directions</w:t>
      </w:r>
    </w:p>
    <w:p>
      <w:pPr>
        <w:ind w:firstLine="720"/>
      </w:pPr>
      <w:r>
        <w:t>The system successfully provides consistent, structured guidance through both CLI and web interfaces. Input validation ensures proper formatting; error handling prevents crashes; confidence scoring quantifies interpretation certainty (35-95%); and transparent reasoning traces show tokenization, signal scores, triggered rules, search comparisons, and ranking details. The implementation satisfies course requirements: uses methods from four modules (search, expert systems, reasoning, planning), provides reasonable answers without errors, and interacts naturally with users.</w:t>
      </w:r>
    </w:p>
    <w:p>
      <w:pPr>
        <w:ind w:firstLine="720"/>
      </w:pPr>
      <w:r>
        <w:t>Limitations include reliance on keyword matching that may miss semantic nuances, lack of probabilistic uncertainty representation, manually-curated knowledge requiring expert updates rather than learning from data, and absence of long-term user modeling. The zodiac framework provides cultural engagement but makes no empirical claims. Future enhancements could integrate machine learning classifiers for intent detection, Bayesian networks for uncertainty reasoning, and evidence-based decision frameworks from behavioral economics. Despite limitations, the system demonstrates that classical symbolic AI delivers practical value when transparency and explainability are prioritized (Luger, 2009). Ethical disclaimers explicitly state the system provides reflective guidance only, not medical, legal, or financial advice.</w:t>
      </w:r>
    </w:p>
    <w:p>
      <w:r>
        <w:br w:type="page"/>
      </w:r>
    </w:p>
    <w:p>
      <w:pPr>
        <w:pStyle w:val="Heading1"/>
        <w:jc w:val="center"/>
      </w:pPr>
      <w:r>
        <w:rPr>
          <w:sz w:val="24"/>
        </w:rPr>
        <w:t>References</w:t>
      </w:r>
    </w:p>
    <w:p>
      <w:pPr>
        <w:ind w:left="720" w:hanging="720"/>
      </w:pPr>
      <w:r>
        <w:t xml:space="preserve">Giarratano, J., &amp; Riley, G. (2005). </w:t>
      </w:r>
      <w:r>
        <w:rPr>
          <w:i/>
        </w:rPr>
        <w:t>Expert systems: Principles and programming</w:t>
      </w:r>
      <w:r>
        <w:t xml:space="preserve"> (4th ed.). Thomson.</w:t>
      </w:r>
    </w:p>
    <w:p>
      <w:pPr>
        <w:ind w:left="720" w:hanging="720"/>
      </w:pPr>
      <w:r>
        <w:t xml:space="preserve">Hart, P. E., Nilsson, N. J., &amp; Raphael, B. (1968). A formal basis for the heuristic determination of minimum cost paths. </w:t>
      </w:r>
      <w:r>
        <w:rPr>
          <w:i/>
        </w:rPr>
        <w:t>IEEE Transactions on Systems Science and Cybernetics, 4</w:t>
      </w:r>
      <w:r>
        <w:t>(2), 100-107. https://doi.org/10.1109/TSSC.1968.300136</w:t>
      </w:r>
    </w:p>
    <w:p>
      <w:pPr>
        <w:ind w:left="720" w:hanging="720"/>
      </w:pPr>
      <w:r>
        <w:t xml:space="preserve">Luger, G. F. (2009). </w:t>
      </w:r>
      <w:r>
        <w:rPr>
          <w:i/>
        </w:rPr>
        <w:t>Artificial intelligence: Structures and strategies for complex problem solving</w:t>
      </w:r>
      <w:r>
        <w:t xml:space="preserve"> (6th ed.). Addison-Wesley.</w:t>
      </w:r>
    </w:p>
    <w:p>
      <w:pPr>
        <w:ind w:left="720" w:hanging="720"/>
      </w:pPr>
      <w:r>
        <w:t>OpenStreetMap Foundation. (n.d.). Nominatim API documentation. https://nominatim.org/release-docs/develop/api/Overview/</w:t>
      </w:r>
    </w:p>
    <w:p>
      <w:pPr>
        <w:ind w:left="720" w:hanging="720"/>
      </w:pPr>
      <w:r>
        <w:t xml:space="preserve">Russell, S. J., &amp; Norvig, P. (2021). </w:t>
      </w:r>
      <w:r>
        <w:rPr>
          <w:i/>
        </w:rPr>
        <w:t>Artificial intelligence: A modern approach</w:t>
      </w:r>
      <w:r>
        <w:t xml:space="preserve"> (4th ed.). Pearson.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