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5F"/>
          <w:sz w:val="44"/>
          <w:szCs w:val="44"/>
        </w:rPr>
        <w:t xml:space="preserve">FATHOM (PostgresTool)</w:t>
      </w:r>
    </w:p>
    <w:p>
      <w:pPr>
        <w:spacing w:after="60"/>
        <w:jc w:val="center"/>
      </w:pPr>
      <w:r>
        <w:rPr>
          <w:b/>
          <w:bCs/>
          <w:color w:val="1F3A5F"/>
          <w:sz w:val="28"/>
          <w:szCs w:val="28"/>
        </w:rPr>
        <w:t xml:space="preserve">Code Review &amp; Competitive Gap Analysis</w:t>
      </w:r>
    </w:p>
    <w:p>
      <w:pPr>
        <w:spacing w:after="400"/>
        <w:jc w:val="center"/>
      </w:pPr>
      <w:r>
        <w:rPr>
          <w:i/>
          <w:iCs/>
          <w:color w:val="595959"/>
          <w:sz w:val="22"/>
          <w:szCs w:val="22"/>
        </w:rPr>
        <w:t xml:space="preserve">Prepared 2 June 2026</w:t>
      </w:r>
    </w:p>
    <w:p>
      <w:pPr>
        <w:pStyle w:val="Heading1"/>
      </w:pPr>
      <w:r>
        <w:t xml:space="preserve">1. Executive Summary</w:t>
      </w:r>
    </w:p>
    <w:p>
      <w:pPr>
        <w:spacing w:after="120"/>
      </w:pPr>
      <w:r>
        <w:t xml:space="preserve">FATHOM is a multi-tenant database monitoring and administration platform spanning a Node/Express backend, a React 19 SPA, a Python analytics/ML worker, and multi-language SDKs (JS, Python, Go). It targets the same problem space as Datadog DBM, pganalyze, Percona PMM, and SolarWinds Database Observability.</w:t>
      </w:r>
    </w:p>
    <w:p>
      <w:pPr>
        <w:spacing w:after="120"/>
      </w:pPr>
      <w:r>
        <w:t xml:space="preserve">Against those competitors, FATHOM has unusually broad surface area for a project of this size — 40+ backend routes, 14 database adapters, full SAML/SCIM/RBAC, OTLP tracing ingest, index advisor, bloat watcher, schema diff, and SDKs in three languages. Where it falls short is depth, productisation, and operational maturity: query analytics is shallower than pganalyze/DBM, dashboards lean on JS-heavy hand-built views rather than a Grafana-style metric explorer, there is no managed agent fleet, and the code has visible signs of in-flight migration (multiple V2/V3 variants of the same component, .pristine files, partial TypeScript adoption).</w:t>
      </w:r>
    </w:p>
    <w:p>
      <w:pPr>
        <w:spacing w:after="120"/>
      </w:pPr>
      <w:r>
        <w:t xml:space="preserve">The April 2026 internal audit (ROADMAP_CODE_AUDIT.md) closed three CRITs and four HIGHs around SCIM cross-tenant writes, IP allow-list bypass, and copilot data exposure. Those fixes are in-tree and tested, but several architectural NOTEs from that audit (distributed rate-limit, history TTL, etc.) remain open, and new gaps have emerged versus the 2026 competitive baseline.</w:t>
      </w:r>
    </w:p>
    <w:p>
      <w:pPr>
        <w:pStyle w:val="Heading2"/>
      </w:pPr>
      <w:r>
        <w:t xml:space="preserve">Top-line gap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800"/>
        <w:gridCol w:w="1760"/>
      </w:tblGrid>
      <w:tr>
        <w:trPr>
          <w:tblHeader/>
        </w:trPr>
        <w:tc>
          <w:tcPr>
            <w:tcW w:type="dxa" w:w="1800"/>
            <w:tcBorders>
              <w:top w:val="single" w:color="BFBFBF" w:sz="1"/>
              <w:left w:val="single" w:color="BFBFBF" w:sz="1"/>
              <w:bottom w:val="single" w:color="BFBFBF" w:sz="1"/>
              <w:right w:val="single" w:color="BFBFBF" w:sz="1"/>
            </w:tcBorders>
            <w:shd w:fill="1F3A5F" w:color="auto" w:val="clear"/>
            <w:tcMar>
              <w:top w:type="dxa" w:w="80"/>
              <w:left w:type="dxa" w:w="100"/>
              <w:bottom w:type="dxa" w:w="80"/>
              <w:right w:type="dxa" w:w="100"/>
            </w:tcMar>
          </w:tcPr>
          <w:p>
            <w:r>
              <w:rPr>
                <w:b/>
                <w:bCs/>
                <w:color w:val="FFFFFF"/>
                <w:sz w:val="20"/>
                <w:szCs w:val="20"/>
              </w:rPr>
              <w:t xml:space="preserve">Dimension</w:t>
            </w:r>
          </w:p>
        </w:tc>
        <w:tc>
          <w:tcPr>
            <w:tcW w:type="dxa" w:w="5800"/>
            <w:tcBorders>
              <w:top w:val="single" w:color="BFBFBF" w:sz="1"/>
              <w:left w:val="single" w:color="BFBFBF" w:sz="1"/>
              <w:bottom w:val="single" w:color="BFBFBF" w:sz="1"/>
              <w:right w:val="single" w:color="BFBFBF" w:sz="1"/>
            </w:tcBorders>
            <w:shd w:fill="1F3A5F" w:color="auto" w:val="clear"/>
            <w:tcMar>
              <w:top w:type="dxa" w:w="80"/>
              <w:left w:type="dxa" w:w="100"/>
              <w:bottom w:type="dxa" w:w="80"/>
              <w:right w:type="dxa" w:w="100"/>
            </w:tcMar>
          </w:tcPr>
          <w:p>
            <w:r>
              <w:rPr>
                <w:b/>
                <w:bCs/>
                <w:color w:val="FFFFFF"/>
                <w:sz w:val="20"/>
                <w:szCs w:val="20"/>
              </w:rPr>
              <w:t xml:space="preserve">Highest-impact gap</w:t>
            </w:r>
          </w:p>
        </w:tc>
        <w:tc>
          <w:tcPr>
            <w:tcW w:type="dxa" w:w="1760"/>
            <w:tcBorders>
              <w:top w:val="single" w:color="BFBFBF" w:sz="1"/>
              <w:left w:val="single" w:color="BFBFBF" w:sz="1"/>
              <w:bottom w:val="single" w:color="BFBFBF" w:sz="1"/>
              <w:right w:val="single" w:color="BFBFBF" w:sz="1"/>
            </w:tcBorders>
            <w:shd w:fill="1F3A5F" w:color="auto" w:val="clear"/>
            <w:tcMar>
              <w:top w:type="dxa" w:w="80"/>
              <w:left w:type="dxa" w:w="100"/>
              <w:bottom w:type="dxa" w:w="80"/>
              <w:right w:type="dxa" w:w="100"/>
            </w:tcMar>
          </w:tcPr>
          <w:p>
            <w:r>
              <w:rPr>
                <w:b/>
                <w:bCs/>
                <w:color w:val="FFFFFF"/>
                <w:sz w:val="20"/>
                <w:szCs w:val="20"/>
              </w:rPr>
              <w:t xml:space="preserve">Severity</w:t>
            </w:r>
          </w:p>
        </w:tc>
      </w:tr>
      <w:tr>
        <w:tc>
          <w:tcPr>
            <w:tcW w:type="dxa" w:w="180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sz w:val="20"/>
                <w:szCs w:val="20"/>
              </w:rPr>
              <w:t xml:space="preserve">Features</w:t>
            </w:r>
          </w:p>
        </w:tc>
        <w:tc>
          <w:tcPr>
            <w:tcW w:type="dxa" w:w="580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sz w:val="20"/>
                <w:szCs w:val="20"/>
              </w:rPr>
              <w:t xml:space="preserve">Query analytics depth, wait-event analysis, managed agent fleet, AI-driven RCA, dashboard authoring, backup/restore integration</w:t>
            </w:r>
          </w:p>
        </w:tc>
        <w:tc>
          <w:tcPr>
            <w:tcW w:type="dxa" w:w="176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sz w:val="20"/>
                <w:szCs w:val="20"/>
              </w:rPr>
              <w:t xml:space="preserve">HIGH</w:t>
            </w:r>
          </w:p>
        </w:tc>
      </w:tr>
      <w:tr>
        <w:tc>
          <w:tcPr>
            <w:tcW w:type="dxa" w:w="1800"/>
            <w:tcBorders>
              <w:top w:val="single" w:color="BFBFBF" w:sz="1"/>
              <w:left w:val="single" w:color="BFBFBF" w:sz="1"/>
              <w:bottom w:val="single" w:color="BFBFBF" w:sz="1"/>
              <w:right w:val="single" w:color="BFBFBF" w:sz="1"/>
            </w:tcBorders>
            <w:shd w:fill="F2F2F2" w:color="auto" w:val="clear"/>
            <w:tcMar>
              <w:top w:type="dxa" w:w="80"/>
              <w:left w:type="dxa" w:w="100"/>
              <w:bottom w:type="dxa" w:w="80"/>
              <w:right w:type="dxa" w:w="100"/>
            </w:tcMar>
          </w:tcPr>
          <w:p>
            <w:r>
              <w:rPr>
                <w:sz w:val="20"/>
                <w:szCs w:val="20"/>
              </w:rPr>
              <w:t xml:space="preserve">Code quality</w:t>
            </w:r>
          </w:p>
        </w:tc>
        <w:tc>
          <w:tcPr>
            <w:tcW w:type="dxa" w:w="5800"/>
            <w:tcBorders>
              <w:top w:val="single" w:color="BFBFBF" w:sz="1"/>
              <w:left w:val="single" w:color="BFBFBF" w:sz="1"/>
              <w:bottom w:val="single" w:color="BFBFBF" w:sz="1"/>
              <w:right w:val="single" w:color="BFBFBF" w:sz="1"/>
            </w:tcBorders>
            <w:shd w:fill="F2F2F2" w:color="auto" w:val="clear"/>
            <w:tcMar>
              <w:top w:type="dxa" w:w="80"/>
              <w:left w:type="dxa" w:w="100"/>
              <w:bottom w:type="dxa" w:w="80"/>
              <w:right w:type="dxa" w:w="100"/>
            </w:tcMar>
          </w:tcPr>
          <w:p>
            <w:r>
              <w:rPr>
                <w:sz w:val="20"/>
                <w:szCs w:val="20"/>
              </w:rPr>
              <w:t xml:space="preserve">TypeScript adoption is partial; multiple V1/V2/V3 component variants; .pristine and CONVERSION_SUMMARY files indicate unfinished migrations; 16k LOC in routes with thin route/service separation in places</w:t>
            </w:r>
          </w:p>
        </w:tc>
        <w:tc>
          <w:tcPr>
            <w:tcW w:type="dxa" w:w="1760"/>
            <w:tcBorders>
              <w:top w:val="single" w:color="BFBFBF" w:sz="1"/>
              <w:left w:val="single" w:color="BFBFBF" w:sz="1"/>
              <w:bottom w:val="single" w:color="BFBFBF" w:sz="1"/>
              <w:right w:val="single" w:color="BFBFBF" w:sz="1"/>
            </w:tcBorders>
            <w:shd w:fill="F2F2F2" w:color="auto" w:val="clear"/>
            <w:tcMar>
              <w:top w:type="dxa" w:w="80"/>
              <w:left w:type="dxa" w:w="100"/>
              <w:bottom w:type="dxa" w:w="80"/>
              <w:right w:type="dxa" w:w="100"/>
            </w:tcMar>
          </w:tcPr>
          <w:p>
            <w:r>
              <w:rPr>
                <w:sz w:val="20"/>
                <w:szCs w:val="20"/>
              </w:rPr>
              <w:t xml:space="preserve">MED</w:t>
            </w:r>
          </w:p>
        </w:tc>
      </w:tr>
      <w:tr>
        <w:tc>
          <w:tcPr>
            <w:tcW w:type="dxa" w:w="180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sz w:val="20"/>
                <w:szCs w:val="20"/>
              </w:rPr>
              <w:t xml:space="preserve">Security</w:t>
            </w:r>
          </w:p>
        </w:tc>
        <w:tc>
          <w:tcPr>
            <w:tcW w:type="dxa" w:w="580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sz w:val="20"/>
                <w:szCs w:val="20"/>
              </w:rPr>
              <w:t xml:space="preserve">Roadmap CRITs/HIGHs closed; remaining: distributed rate-limit, copilot history TTL, SCIM token rotation, dependency CVE scanning in CI</w:t>
            </w:r>
          </w:p>
        </w:tc>
        <w:tc>
          <w:tcPr>
            <w:tcW w:type="dxa" w:w="176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sz w:val="20"/>
                <w:szCs w:val="20"/>
              </w:rPr>
              <w:t xml:space="preserve">MED</w:t>
            </w:r>
          </w:p>
        </w:tc>
      </w:tr>
      <w:tr>
        <w:tc>
          <w:tcPr>
            <w:tcW w:type="dxa" w:w="1800"/>
            <w:tcBorders>
              <w:top w:val="single" w:color="BFBFBF" w:sz="1"/>
              <w:left w:val="single" w:color="BFBFBF" w:sz="1"/>
              <w:bottom w:val="single" w:color="BFBFBF" w:sz="1"/>
              <w:right w:val="single" w:color="BFBFBF" w:sz="1"/>
            </w:tcBorders>
            <w:shd w:fill="F2F2F2" w:color="auto" w:val="clear"/>
            <w:tcMar>
              <w:top w:type="dxa" w:w="80"/>
              <w:left w:type="dxa" w:w="100"/>
              <w:bottom w:type="dxa" w:w="80"/>
              <w:right w:type="dxa" w:w="100"/>
            </w:tcMar>
          </w:tcPr>
          <w:p>
            <w:r>
              <w:rPr>
                <w:sz w:val="20"/>
                <w:szCs w:val="20"/>
              </w:rPr>
              <w:t xml:space="preserve">Performance</w:t>
            </w:r>
          </w:p>
        </w:tc>
        <w:tc>
          <w:tcPr>
            <w:tcW w:type="dxa" w:w="5800"/>
            <w:tcBorders>
              <w:top w:val="single" w:color="BFBFBF" w:sz="1"/>
              <w:left w:val="single" w:color="BFBFBF" w:sz="1"/>
              <w:bottom w:val="single" w:color="BFBFBF" w:sz="1"/>
              <w:right w:val="single" w:color="BFBFBF" w:sz="1"/>
            </w:tcBorders>
            <w:shd w:fill="F2F2F2" w:color="auto" w:val="clear"/>
            <w:tcMar>
              <w:top w:type="dxa" w:w="80"/>
              <w:left w:type="dxa" w:w="100"/>
              <w:bottom w:type="dxa" w:w="80"/>
              <w:right w:type="dxa" w:w="100"/>
            </w:tcMar>
          </w:tcPr>
          <w:p>
            <w:r>
              <w:rPr>
                <w:sz w:val="20"/>
                <w:szCs w:val="20"/>
              </w:rPr>
              <w:t xml:space="preserve">No connection-pool sharing across workers; Python analytics worker uses synchronous patterns in some paths; no documented benchmark suite; OTLP ingest path single-process</w:t>
            </w:r>
          </w:p>
        </w:tc>
        <w:tc>
          <w:tcPr>
            <w:tcW w:type="dxa" w:w="1760"/>
            <w:tcBorders>
              <w:top w:val="single" w:color="BFBFBF" w:sz="1"/>
              <w:left w:val="single" w:color="BFBFBF" w:sz="1"/>
              <w:bottom w:val="single" w:color="BFBFBF" w:sz="1"/>
              <w:right w:val="single" w:color="BFBFBF" w:sz="1"/>
            </w:tcBorders>
            <w:shd w:fill="F2F2F2" w:color="auto" w:val="clear"/>
            <w:tcMar>
              <w:top w:type="dxa" w:w="80"/>
              <w:left w:type="dxa" w:w="100"/>
              <w:bottom w:type="dxa" w:w="80"/>
              <w:right w:type="dxa" w:w="100"/>
            </w:tcMar>
          </w:tcPr>
          <w:p>
            <w:r>
              <w:rPr>
                <w:sz w:val="20"/>
                <w:szCs w:val="20"/>
              </w:rPr>
              <w:t xml:space="preserve">MED</w:t>
            </w:r>
          </w:p>
        </w:tc>
      </w:tr>
      <w:tr>
        <w:tc>
          <w:tcPr>
            <w:tcW w:type="dxa" w:w="180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sz w:val="20"/>
                <w:szCs w:val="20"/>
              </w:rPr>
              <w:t xml:space="preserve">Productisation</w:t>
            </w:r>
          </w:p>
        </w:tc>
        <w:tc>
          <w:tcPr>
            <w:tcW w:type="dxa" w:w="580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sz w:val="20"/>
                <w:szCs w:val="20"/>
              </w:rPr>
              <w:t xml:space="preserve">No managed cloud agent, no per-DB onboarding wizards beyond Postgres, no docs site, no public pricing, no SOC2 attestation referenced in repo</w:t>
            </w:r>
          </w:p>
        </w:tc>
        <w:tc>
          <w:tcPr>
            <w:tcW w:type="dxa" w:w="176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sz w:val="20"/>
                <w:szCs w:val="20"/>
              </w:rPr>
              <w:t xml:space="preserve">HIGH</w:t>
            </w:r>
          </w:p>
        </w:tc>
      </w:tr>
    </w:tbl>
    <w:p>
      <w:pPr>
        <w:pStyle w:val="Heading1"/>
      </w:pPr>
      <w:r>
        <w:t xml:space="preserve">2. What FATHOM Is Today</w:t>
      </w:r>
    </w:p>
    <w:p>
      <w:pPr>
        <w:spacing w:after="120"/>
      </w:pPr>
      <w:r>
        <w:t xml:space="preserve">FATHOM packages four cooperating components in an npm-workspaces + Turbo monorepo:</w:t>
      </w:r>
    </w:p>
    <w:p>
      <w:pPr>
        <w:pStyle w:val="ListParagraph"/>
        <w:numPr>
          <w:ilvl w:val="0"/>
          <w:numId w:val="2"/>
        </w:numPr>
        <w:spacing w:after="60"/>
      </w:pPr>
      <w:r>
        <w:t xml:space="preserve">backend/ — Express 5 control plane, WebSocket server, 41 route modules, 38 services, 14 DB adapters (Postgres, MySQL, MongoDB, MSSQL, Oracle, Redis, Cassandra, Elasticsearch, BigQuery, DynamoDB, Redshift, Snowflake).</w:t>
      </w:r>
    </w:p>
    <w:p>
      <w:pPr>
        <w:pStyle w:val="ListParagraph"/>
        <w:numPr>
          <w:ilvl w:val="0"/>
          <w:numId w:val="2"/>
        </w:numPr>
        <w:spacing w:after="60"/>
      </w:pPr>
      <w:r>
        <w:t xml:space="preserve">frontend/ — React 19 + Vite SPA with ~80 view components across database, monitoring, security, analytics, console, mongo/mysql, operations, admin, demo.</w:t>
      </w:r>
    </w:p>
    <w:p>
      <w:pPr>
        <w:pStyle w:val="ListParagraph"/>
        <w:numPr>
          <w:ilvl w:val="0"/>
          <w:numId w:val="2"/>
        </w:numPr>
        <w:spacing w:after="60"/>
      </w:pPr>
      <w:r>
        <w:t xml:space="preserve">python/ — FastAPI analytics + ML worker (anomaly detection, forecasting).</w:t>
      </w:r>
    </w:p>
    <w:p>
      <w:pPr>
        <w:pStyle w:val="ListParagraph"/>
        <w:numPr>
          <w:ilvl w:val="0"/>
          <w:numId w:val="2"/>
        </w:numPr>
        <w:spacing w:after="60"/>
      </w:pPr>
      <w:r>
        <w:t xml:space="preserve">sdk/ — Zero-dep JS, Python, and Go clients with FastAPI/Django/WSGI and Gin/net-http middlewares; OpenAPI 3 contract.</w:t>
      </w:r>
    </w:p>
    <w:p>
      <w:pPr>
        <w:spacing w:after="120"/>
      </w:pPr>
      <w:r>
        <w:t xml:space="preserve">Enterprise capabilities already wired: SAML 2.0 SSO, SCIM provisioning, per-org alert fan-out (Slack/PagerDuty/Opsgenie/Teams/webhooks), AES-256-GCM encryption of connection secrets, audit-log NDJSON export to S3, OTLP distributed tracing ingest, Postgres index advisor, bloat watcher, schema diff, query workbench, status page, synthetic monitor.</w:t>
      </w:r>
    </w:p>
    <w:p>
      <w:pPr>
        <w:pStyle w:val="Heading1"/>
      </w:pPr>
      <w:r>
        <w:t xml:space="preserve">3. Competitive Landscape (2026)</w:t>
      </w:r>
    </w:p>
    <w:p>
      <w:pPr>
        <w:spacing w:after="120"/>
      </w:pPr>
      <w:r>
        <w:t xml:space="preserve">Four products define the comparable feature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BFBFBF" w:sz="1"/>
              <w:left w:val="single" w:color="BFBFBF" w:sz="1"/>
              <w:bottom w:val="single" w:color="BFBFBF" w:sz="1"/>
              <w:right w:val="single" w:color="BFBFBF" w:sz="1"/>
            </w:tcBorders>
            <w:shd w:fill="1F3A5F" w:color="auto" w:val="clear"/>
            <w:tcMar>
              <w:top w:type="dxa" w:w="80"/>
              <w:left w:type="dxa" w:w="100"/>
              <w:bottom w:type="dxa" w:w="80"/>
              <w:right w:type="dxa" w:w="100"/>
            </w:tcMar>
          </w:tcPr>
          <w:p>
            <w:r>
              <w:rPr>
                <w:b/>
                <w:bCs/>
                <w:color w:val="FFFFFF"/>
                <w:sz w:val="20"/>
                <w:szCs w:val="20"/>
              </w:rPr>
              <w:t xml:space="preserve">Tool</w:t>
            </w:r>
          </w:p>
        </w:tc>
        <w:tc>
          <w:tcPr>
            <w:tcW w:type="dxa" w:w="2400"/>
            <w:tcBorders>
              <w:top w:val="single" w:color="BFBFBF" w:sz="1"/>
              <w:left w:val="single" w:color="BFBFBF" w:sz="1"/>
              <w:bottom w:val="single" w:color="BFBFBF" w:sz="1"/>
              <w:right w:val="single" w:color="BFBFBF" w:sz="1"/>
            </w:tcBorders>
            <w:shd w:fill="1F3A5F" w:color="auto" w:val="clear"/>
            <w:tcMar>
              <w:top w:type="dxa" w:w="80"/>
              <w:left w:type="dxa" w:w="100"/>
              <w:bottom w:type="dxa" w:w="80"/>
              <w:right w:type="dxa" w:w="100"/>
            </w:tcMar>
          </w:tcPr>
          <w:p>
            <w:r>
              <w:rPr>
                <w:b/>
                <w:bCs/>
                <w:color w:val="FFFFFF"/>
                <w:sz w:val="20"/>
                <w:szCs w:val="20"/>
              </w:rPr>
              <w:t xml:space="preserve">Model</w:t>
            </w:r>
          </w:p>
        </w:tc>
        <w:tc>
          <w:tcPr>
            <w:tcW w:type="dxa" w:w="5360"/>
            <w:tcBorders>
              <w:top w:val="single" w:color="BFBFBF" w:sz="1"/>
              <w:left w:val="single" w:color="BFBFBF" w:sz="1"/>
              <w:bottom w:val="single" w:color="BFBFBF" w:sz="1"/>
              <w:right w:val="single" w:color="BFBFBF" w:sz="1"/>
            </w:tcBorders>
            <w:shd w:fill="1F3A5F" w:color="auto" w:val="clear"/>
            <w:tcMar>
              <w:top w:type="dxa" w:w="80"/>
              <w:left w:type="dxa" w:w="100"/>
              <w:bottom w:type="dxa" w:w="80"/>
              <w:right w:type="dxa" w:w="100"/>
            </w:tcMar>
          </w:tcPr>
          <w:p>
            <w:r>
              <w:rPr>
                <w:b/>
                <w:bCs/>
                <w:color w:val="FFFFFF"/>
                <w:sz w:val="20"/>
                <w:szCs w:val="20"/>
              </w:rPr>
              <w:t xml:space="preserve">What they're known for</w:t>
            </w:r>
          </w:p>
        </w:tc>
      </w:tr>
      <w:tr>
        <w:tc>
          <w:tcPr>
            <w:tcW w:type="dxa" w:w="160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sz w:val="20"/>
                <w:szCs w:val="20"/>
              </w:rPr>
              <w:t xml:space="preserve">Datadog DBM</w:t>
            </w:r>
          </w:p>
        </w:tc>
        <w:tc>
          <w:tcPr>
            <w:tcW w:type="dxa" w:w="240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sz w:val="20"/>
                <w:szCs w:val="20"/>
              </w:rPr>
              <w:t xml:space="preserve">Closed-source SaaS</w:t>
            </w:r>
          </w:p>
        </w:tc>
        <w:tc>
          <w:tcPr>
            <w:tcW w:type="dxa" w:w="536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sz w:val="20"/>
                <w:szCs w:val="20"/>
              </w:rPr>
              <w:t xml:space="preserve">Query samples, wait-event analysis, explain plans, APM/DBM correlation, AI-driven RCA, MySQL/Postgres/Oracle/SQL Server/MongoDB/DocumentDB/ClickHouse. Add-on starts ~$70/host/month.</w:t>
            </w:r>
          </w:p>
        </w:tc>
      </w:tr>
      <w:tr>
        <w:tc>
          <w:tcPr>
            <w:tcW w:type="dxa" w:w="1600"/>
            <w:tcBorders>
              <w:top w:val="single" w:color="BFBFBF" w:sz="1"/>
              <w:left w:val="single" w:color="BFBFBF" w:sz="1"/>
              <w:bottom w:val="single" w:color="BFBFBF" w:sz="1"/>
              <w:right w:val="single" w:color="BFBFBF" w:sz="1"/>
            </w:tcBorders>
            <w:shd w:fill="F2F2F2" w:color="auto" w:val="clear"/>
            <w:tcMar>
              <w:top w:type="dxa" w:w="80"/>
              <w:left w:type="dxa" w:w="100"/>
              <w:bottom w:type="dxa" w:w="80"/>
              <w:right w:type="dxa" w:w="100"/>
            </w:tcMar>
          </w:tcPr>
          <w:p>
            <w:r>
              <w:rPr>
                <w:sz w:val="20"/>
                <w:szCs w:val="20"/>
              </w:rPr>
              <w:t xml:space="preserve">pganalyze</w:t>
            </w:r>
          </w:p>
        </w:tc>
        <w:tc>
          <w:tcPr>
            <w:tcW w:type="dxa" w:w="2400"/>
            <w:tcBorders>
              <w:top w:val="single" w:color="BFBFBF" w:sz="1"/>
              <w:left w:val="single" w:color="BFBFBF" w:sz="1"/>
              <w:bottom w:val="single" w:color="BFBFBF" w:sz="1"/>
              <w:right w:val="single" w:color="BFBFBF" w:sz="1"/>
            </w:tcBorders>
            <w:shd w:fill="F2F2F2" w:color="auto" w:val="clear"/>
            <w:tcMar>
              <w:top w:type="dxa" w:w="80"/>
              <w:left w:type="dxa" w:w="100"/>
              <w:bottom w:type="dxa" w:w="80"/>
              <w:right w:type="dxa" w:w="100"/>
            </w:tcMar>
          </w:tcPr>
          <w:p>
            <w:r>
              <w:rPr>
                <w:sz w:val="20"/>
                <w:szCs w:val="20"/>
              </w:rPr>
              <w:t xml:space="preserve">Closed-source SaaS</w:t>
            </w:r>
          </w:p>
        </w:tc>
        <w:tc>
          <w:tcPr>
            <w:tcW w:type="dxa" w:w="5360"/>
            <w:tcBorders>
              <w:top w:val="single" w:color="BFBFBF" w:sz="1"/>
              <w:left w:val="single" w:color="BFBFBF" w:sz="1"/>
              <w:bottom w:val="single" w:color="BFBFBF" w:sz="1"/>
              <w:right w:val="single" w:color="BFBFBF" w:sz="1"/>
            </w:tcBorders>
            <w:shd w:fill="F2F2F2" w:color="auto" w:val="clear"/>
            <w:tcMar>
              <w:top w:type="dxa" w:w="80"/>
              <w:left w:type="dxa" w:w="100"/>
              <w:bottom w:type="dxa" w:w="80"/>
              <w:right w:type="dxa" w:w="100"/>
            </w:tcMar>
          </w:tcPr>
          <w:p>
            <w:r>
              <w:rPr>
                <w:sz w:val="20"/>
                <w:szCs w:val="20"/>
              </w:rPr>
              <w:t xml:space="preserve">Postgres-only. Best-in-class index advisor (cluster-aware), query advisor (anti-patterns), workbooks for query rewrite A/B, log-based EXPLAIN capture, schema evolution timeline.</w:t>
            </w:r>
          </w:p>
        </w:tc>
      </w:tr>
      <w:tr>
        <w:tc>
          <w:tcPr>
            <w:tcW w:type="dxa" w:w="160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sz w:val="20"/>
                <w:szCs w:val="20"/>
              </w:rPr>
              <w:t xml:space="preserve">Percona PMM</w:t>
            </w:r>
          </w:p>
        </w:tc>
        <w:tc>
          <w:tcPr>
            <w:tcW w:type="dxa" w:w="240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sz w:val="20"/>
                <w:szCs w:val="20"/>
              </w:rPr>
              <w:t xml:space="preserve">Open source</w:t>
            </w:r>
          </w:p>
        </w:tc>
        <w:tc>
          <w:tcPr>
            <w:tcW w:type="dxa" w:w="536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sz w:val="20"/>
                <w:szCs w:val="20"/>
              </w:rPr>
              <w:t xml:space="preserve">PG, MySQL, MongoDB, Redis/Valkey, ProxySQL. Query Analytics across engines. Built-in backup/restore for MongoDB/MySQL. All advisors free as of 2026. PG 18 support.</w:t>
            </w:r>
          </w:p>
        </w:tc>
      </w:tr>
      <w:tr>
        <w:tc>
          <w:tcPr>
            <w:tcW w:type="dxa" w:w="1600"/>
            <w:tcBorders>
              <w:top w:val="single" w:color="BFBFBF" w:sz="1"/>
              <w:left w:val="single" w:color="BFBFBF" w:sz="1"/>
              <w:bottom w:val="single" w:color="BFBFBF" w:sz="1"/>
              <w:right w:val="single" w:color="BFBFBF" w:sz="1"/>
            </w:tcBorders>
            <w:shd w:fill="F2F2F2" w:color="auto" w:val="clear"/>
            <w:tcMar>
              <w:top w:type="dxa" w:w="80"/>
              <w:left w:type="dxa" w:w="100"/>
              <w:bottom w:type="dxa" w:w="80"/>
              <w:right w:type="dxa" w:w="100"/>
            </w:tcMar>
          </w:tcPr>
          <w:p>
            <w:r>
              <w:rPr>
                <w:sz w:val="20"/>
                <w:szCs w:val="20"/>
              </w:rPr>
              <w:t xml:space="preserve">SolarWinds DBO</w:t>
            </w:r>
          </w:p>
        </w:tc>
        <w:tc>
          <w:tcPr>
            <w:tcW w:type="dxa" w:w="2400"/>
            <w:tcBorders>
              <w:top w:val="single" w:color="BFBFBF" w:sz="1"/>
              <w:left w:val="single" w:color="BFBFBF" w:sz="1"/>
              <w:bottom w:val="single" w:color="BFBFBF" w:sz="1"/>
              <w:right w:val="single" w:color="BFBFBF" w:sz="1"/>
            </w:tcBorders>
            <w:shd w:fill="F2F2F2" w:color="auto" w:val="clear"/>
            <w:tcMar>
              <w:top w:type="dxa" w:w="80"/>
              <w:left w:type="dxa" w:w="100"/>
              <w:bottom w:type="dxa" w:w="80"/>
              <w:right w:type="dxa" w:w="100"/>
            </w:tcMar>
          </w:tcPr>
          <w:p>
            <w:r>
              <w:rPr>
                <w:sz w:val="20"/>
                <w:szCs w:val="20"/>
              </w:rPr>
              <w:t xml:space="preserve">SaaS</w:t>
            </w:r>
          </w:p>
        </w:tc>
        <w:tc>
          <w:tcPr>
            <w:tcW w:type="dxa" w:w="5360"/>
            <w:tcBorders>
              <w:top w:val="single" w:color="BFBFBF" w:sz="1"/>
              <w:left w:val="single" w:color="BFBFBF" w:sz="1"/>
              <w:bottom w:val="single" w:color="BFBFBF" w:sz="1"/>
              <w:right w:val="single" w:color="BFBFBF" w:sz="1"/>
            </w:tcBorders>
            <w:shd w:fill="F2F2F2" w:color="auto" w:val="clear"/>
            <w:tcMar>
              <w:top w:type="dxa" w:w="80"/>
              <w:left w:type="dxa" w:w="100"/>
              <w:bottom w:type="dxa" w:w="80"/>
              <w:right w:type="dxa" w:w="100"/>
            </w:tcMar>
          </w:tcPr>
          <w:p>
            <w:r>
              <w:rPr>
                <w:sz w:val="20"/>
                <w:szCs w:val="20"/>
              </w:rPr>
              <w:t xml:space="preserve">Wait-time decomposition, query analysis, multi-engine. Cloud-native target market.</w:t>
            </w:r>
          </w:p>
        </w:tc>
      </w:tr>
    </w:tbl>
    <w:p>
      <w:pPr>
        <w:pStyle w:val="Heading1"/>
      </w:pPr>
      <w:r>
        <w:t xml:space="preserve">4. Feature Gaps</w:t>
      </w:r>
    </w:p>
    <w:p>
      <w:pPr>
        <w:pStyle w:val="Heading2"/>
      </w:pPr>
      <w:r>
        <w:t xml:space="preserve">4.1 Query analytics — shallower than competitors</w:t>
      </w:r>
    </w:p>
    <w:p>
      <w:pPr>
        <w:spacing w:after="120"/>
      </w:pPr>
      <w:r>
        <w:t xml:space="preserve">FATHOM exposes EXPLAIN parsing (services/explainService.js, explainParsers.js) and AI-assisted query suggestions (copilotService.js). What is missing relative to Datadog DBM / pganalyze:</w:t>
      </w:r>
    </w:p>
    <w:p>
      <w:pPr>
        <w:pStyle w:val="ListParagraph"/>
        <w:numPr>
          <w:ilvl w:val="0"/>
          <w:numId w:val="2"/>
        </w:numPr>
        <w:spacing w:after="60"/>
      </w:pPr>
      <w:r>
        <w:t xml:space="preserve">No continuous query-sample capture with low-overhead sampling — competitors record individual query executions, not just aggregates.</w:t>
      </w:r>
    </w:p>
    <w:p>
      <w:pPr>
        <w:pStyle w:val="ListParagraph"/>
        <w:numPr>
          <w:ilvl w:val="0"/>
          <w:numId w:val="2"/>
        </w:numPr>
        <w:spacing w:after="60"/>
      </w:pPr>
      <w:r>
        <w:t xml:space="preserve">No wait-event time decomposition (pg_stat_activity sampler with bucketed wait classes). This is table-stakes in DBM/PMM 2026.</w:t>
      </w:r>
    </w:p>
    <w:p>
      <w:pPr>
        <w:pStyle w:val="ListParagraph"/>
        <w:numPr>
          <w:ilvl w:val="0"/>
          <w:numId w:val="2"/>
        </w:numPr>
        <w:spacing w:after="60"/>
      </w:pPr>
      <w:r>
        <w:t xml:space="preserve">No query-rewrite workbook flow (pganalyze Workbooks). Copilot can suggest a rewrite but there is no A/B harness to benchmark it against the original.</w:t>
      </w:r>
    </w:p>
    <w:p>
      <w:pPr>
        <w:pStyle w:val="ListParagraph"/>
        <w:numPr>
          <w:ilvl w:val="0"/>
          <w:numId w:val="2"/>
        </w:numPr>
        <w:spacing w:after="60"/>
      </w:pPr>
      <w:r>
        <w:t xml:space="preserve">No cluster-aware index recommendations (primary + replicas) — index advisor today reads one connection's pg_stat_user_indexes; pganalyze went cluster-aware in Feb 2026.</w:t>
      </w:r>
    </w:p>
    <w:p>
      <w:pPr>
        <w:pStyle w:val="ListParagraph"/>
        <w:numPr>
          <w:ilvl w:val="0"/>
          <w:numId w:val="2"/>
        </w:numPr>
        <w:spacing w:after="60"/>
      </w:pPr>
      <w:r>
        <w:t xml:space="preserve">No log-based EXPLAIN capture (auto_explain ingest with PII scrubbing).</w:t>
      </w:r>
    </w:p>
    <w:p>
      <w:pPr>
        <w:pStyle w:val="Heading2"/>
      </w:pPr>
      <w:r>
        <w:t xml:space="preserve">4.2 Dashboards &amp; metric exploration</w:t>
      </w:r>
    </w:p>
    <w:p>
      <w:pPr>
        <w:spacing w:after="120"/>
      </w:pPr>
      <w:r>
        <w:t xml:space="preserve">Frontend ships fixed views per DB engine (FleetOverviewTab, PerformanceTab, MongoOverviewTab, etc.). What is missing:</w:t>
      </w:r>
    </w:p>
    <w:p>
      <w:pPr>
        <w:pStyle w:val="ListParagraph"/>
        <w:numPr>
          <w:ilvl w:val="0"/>
          <w:numId w:val="2"/>
        </w:numPr>
        <w:spacing w:after="60"/>
      </w:pPr>
      <w:r>
        <w:t xml:space="preserve">No user-built dashboards with metric explorer / PromQL-style queries (Datadog and PMM/Grafana both support this).</w:t>
      </w:r>
    </w:p>
    <w:p>
      <w:pPr>
        <w:pStyle w:val="ListParagraph"/>
        <w:numPr>
          <w:ilvl w:val="0"/>
          <w:numId w:val="2"/>
        </w:numPr>
        <w:spacing w:after="60"/>
      </w:pPr>
      <w:r>
        <w:t xml:space="preserve">CustomDashboardTab.tsx exists but there is no underlying time-series query engine description in /docs; Highcharts + Recharts both ship, suggesting two charting stacks in parallel.</w:t>
      </w:r>
    </w:p>
    <w:p>
      <w:pPr>
        <w:pStyle w:val="ListParagraph"/>
        <w:numPr>
          <w:ilvl w:val="0"/>
          <w:numId w:val="2"/>
        </w:numPr>
        <w:spacing w:after="60"/>
      </w:pPr>
      <w:r>
        <w:t xml:space="preserve">Multiple V1/V2/V3 component variants (IndexesTab, IndexesTabV2, IndexesTabV3, CapacityPlanningTab/V2/V3) — UI consolidation is incomplete.</w:t>
      </w:r>
    </w:p>
    <w:p>
      <w:pPr>
        <w:pStyle w:val="Heading2"/>
      </w:pPr>
      <w:r>
        <w:t xml:space="preserve">4.3 Backup &amp; restore</w:t>
      </w:r>
    </w:p>
    <w:p>
      <w:pPr>
        <w:spacing w:after="120"/>
      </w:pPr>
      <w:r>
        <w:t xml:space="preserve">PMM ships built-in physical/logical backup orchestration for MongoDB and MySQL. FATHOM has BackupRecoveryTab.tsx in the UI but no backup orchestration service in backend/services/. The capability appears to be UI-only.</w:t>
      </w:r>
    </w:p>
    <w:p>
      <w:pPr>
        <w:pStyle w:val="Heading2"/>
      </w:pPr>
      <w:r>
        <w:t xml:space="preserve">4.4 Managed agent / collector</w:t>
      </w:r>
    </w:p>
    <w:p>
      <w:pPr>
        <w:spacing w:after="120"/>
      </w:pPr>
      <w:r>
        <w:t xml:space="preserve">Competitors ship a managed agent (Datadog Agent, PMM client, pganalyze collector) that the customer installs once per host and that handles discovery, sampling, and metric forwarding. FATHOM expects the customer to add database connections via the UI and the backend to poll them. There is no collector binary, no auto-discovery, no host-level OS metrics, and no managed update channel.</w:t>
      </w:r>
    </w:p>
    <w:p>
      <w:pPr>
        <w:pStyle w:val="Heading2"/>
      </w:pPr>
      <w:r>
        <w:t xml:space="preserve">4.5 AI-driven RCA</w:t>
      </w:r>
    </w:p>
    <w:p>
      <w:pPr>
        <w:spacing w:after="120"/>
      </w:pPr>
      <w:r>
        <w:t xml:space="preserve">Copilot can draft RCA narratives from a manually-assembled context (services/copilotService.js capability #3), but it is reactive — the operator opens the chat and asks. Datadog 2026 ships proactive AI-driven RCA that automatically correlates database load, app traces, and infra metrics on alert. Building this on top of FATHOM's existing alert engine + OTLP traces is feasible but not present.</w:t>
      </w:r>
    </w:p>
    <w:p>
      <w:pPr>
        <w:pStyle w:val="Heading2"/>
      </w:pPr>
      <w:r>
        <w:t xml:space="preserve">4.6 Productisation gaps</w:t>
      </w:r>
    </w:p>
    <w:p>
      <w:pPr>
        <w:pStyle w:val="ListParagraph"/>
        <w:numPr>
          <w:ilvl w:val="0"/>
          <w:numId w:val="2"/>
        </w:numPr>
        <w:spacing w:after="60"/>
      </w:pPr>
      <w:r>
        <w:t xml:space="preserve">No public docs site referenced. README points to backend/docs/*.md files; no docusaurus / mintlify / equivalent.</w:t>
      </w:r>
    </w:p>
    <w:p>
      <w:pPr>
        <w:pStyle w:val="ListParagraph"/>
        <w:numPr>
          <w:ilvl w:val="0"/>
          <w:numId w:val="2"/>
        </w:numPr>
        <w:spacing w:after="60"/>
      </w:pPr>
      <w:r>
        <w:t xml:space="preserve">No public pricing page in repo (frontend/public/pricing.html exists but was flagged LOW-3 for missing 'as of' date; current state unverified).</w:t>
      </w:r>
    </w:p>
    <w:p>
      <w:pPr>
        <w:pStyle w:val="ListParagraph"/>
        <w:numPr>
          <w:ilvl w:val="0"/>
          <w:numId w:val="2"/>
        </w:numPr>
        <w:spacing w:after="60"/>
      </w:pPr>
      <w:r>
        <w:t xml:space="preserve">No SOC2 attestation; FATHOM_SOC2_Controls_Checklist.md is a checklist, not evidence.</w:t>
      </w:r>
    </w:p>
    <w:p>
      <w:pPr>
        <w:pStyle w:val="ListParagraph"/>
        <w:numPr>
          <w:ilvl w:val="0"/>
          <w:numId w:val="2"/>
        </w:numPr>
        <w:spacing w:after="60"/>
      </w:pPr>
      <w:r>
        <w:t xml:space="preserve">Onboarding wizard exists only for the generic ConnectionWizard.tsx; no engine-specific guided flows (Datadog has per-engine 5-minute setup walkthroughs).</w:t>
      </w:r>
    </w:p>
    <w:p>
      <w:pPr>
        <w:pStyle w:val="Heading1"/>
      </w:pPr>
      <w:r>
        <w:t xml:space="preserve">5. Code Quality &amp; Architecture Gaps</w:t>
      </w:r>
    </w:p>
    <w:p>
      <w:pPr>
        <w:pStyle w:val="Heading2"/>
      </w:pPr>
      <w:r>
        <w:t xml:space="preserve">5.1 Partial TypeScript migration</w:t>
      </w:r>
    </w:p>
    <w:p>
      <w:pPr>
        <w:spacing w:after="120"/>
      </w:pPr>
      <w:r>
        <w:t xml:space="preserve">FATHOM-TypeScript-TechStack.md describes a target stack with TS across frontend, backend, and shared. Reality in tree:</w:t>
      </w:r>
    </w:p>
    <w:p>
      <w:pPr>
        <w:pStyle w:val="ListParagraph"/>
        <w:numPr>
          <w:ilvl w:val="0"/>
          <w:numId w:val="2"/>
        </w:numPr>
        <w:spacing w:after="60"/>
      </w:pPr>
      <w:r>
        <w:t xml:space="preserve">Frontend has migrated most components to .tsx and ships tsconfig.json, but eslint config and several test files still mix .js.</w:t>
      </w:r>
    </w:p>
    <w:p>
      <w:pPr>
        <w:pStyle w:val="ListParagraph"/>
        <w:numPr>
          <w:ilvl w:val="0"/>
          <w:numId w:val="2"/>
        </w:numPr>
        <w:spacing w:after="60"/>
      </w:pPr>
      <w:r>
        <w:t xml:space="preserve">Backend is still ES Modules JavaScript (backend/package.json main: server.js, scripts/migrate.js, etc.). tsconfig.json is present but only enforces a noEmit type-check on the few .ts files.</w:t>
      </w:r>
    </w:p>
    <w:p>
      <w:pPr>
        <w:pStyle w:val="ListParagraph"/>
        <w:numPr>
          <w:ilvl w:val="0"/>
          <w:numId w:val="2"/>
        </w:numPr>
        <w:spacing w:after="60"/>
      </w:pPr>
      <w:r>
        <w:t xml:space="preserve">No shared @fathom/types package despite the doc's roadmap. shared/* workspaces exist in package.json glob but the directory layout under shared/ is sparse — frontend/backend ship their own duplicates of contract shapes (e.g., metricsRegistry vs frontend chart payloads).</w:t>
      </w:r>
    </w:p>
    <w:p>
      <w:pPr>
        <w:pStyle w:val="ListParagraph"/>
        <w:numPr>
          <w:ilvl w:val="0"/>
          <w:numId w:val="2"/>
        </w:numPr>
        <w:spacing w:after="60"/>
      </w:pPr>
      <w:r>
        <w:t xml:space="preserve">No tRPC / Zod-shared schemas between FE and BE; validation lives on each side independently.</w:t>
      </w:r>
    </w:p>
    <w:p>
      <w:pPr>
        <w:pStyle w:val="Heading2"/>
      </w:pPr>
      <w:r>
        <w:t xml:space="preserve">5.2 Unfinished refactors in tree</w:t>
      </w:r>
    </w:p>
    <w:p>
      <w:pPr>
        <w:pStyle w:val="ListParagraph"/>
        <w:numPr>
          <w:ilvl w:val="0"/>
          <w:numId w:val="2"/>
        </w:numPr>
        <w:spacing w:after="60"/>
      </w:pPr>
      <w:r>
        <w:t xml:space="preserve">frontend/src/components/views/monitoring/OverviewTab.tsx.pristine — a checked-in pristine copy of a component.</w:t>
      </w:r>
    </w:p>
    <w:p>
      <w:pPr>
        <w:pStyle w:val="ListParagraph"/>
        <w:numPr>
          <w:ilvl w:val="0"/>
          <w:numId w:val="2"/>
        </w:numPr>
        <w:spacing w:after="60"/>
      </w:pPr>
      <w:r>
        <w:t xml:space="preserve">fix-overview-tail.patch at repo root — a stray patch file.</w:t>
      </w:r>
    </w:p>
    <w:p>
      <w:pPr>
        <w:pStyle w:val="ListParagraph"/>
        <w:numPr>
          <w:ilvl w:val="0"/>
          <w:numId w:val="2"/>
        </w:numPr>
        <w:spacing w:after="60"/>
      </w:pPr>
      <w:r>
        <w:t xml:space="preserve">IndexesTab.tsx + IndexesTabV2.tsx + IndexesTabV3.tsx and CapacityPlanningTab/V2/V3 — three coexisting versions, no clear primary.</w:t>
      </w:r>
    </w:p>
    <w:p>
      <w:pPr>
        <w:pStyle w:val="ListParagraph"/>
        <w:numPr>
          <w:ilvl w:val="0"/>
          <w:numId w:val="2"/>
        </w:numPr>
        <w:spacing w:after="60"/>
      </w:pPr>
      <w:r>
        <w:t xml:space="preserve">CONVERSION_SUMMARY.md and TYPESCRIPT_MIGRATION.md inside views/database/ indicate in-progress conversions that were never collapsed back into the main code.</w:t>
      </w:r>
    </w:p>
    <w:p>
      <w:pPr>
        <w:pStyle w:val="Heading2"/>
      </w:pPr>
      <w:r>
        <w:t xml:space="preserve">5.3 Backend structure</w:t>
      </w:r>
    </w:p>
    <w:p>
      <w:pPr>
        <w:pStyle w:val="ListParagraph"/>
        <w:numPr>
          <w:ilvl w:val="0"/>
          <w:numId w:val="2"/>
        </w:numPr>
        <w:spacing w:after="60"/>
      </w:pPr>
      <w:r>
        <w:t xml:space="preserve">41 route files in backend/routes/ total ~16,500 LOC. Some routes (userRoutes 424 LOC, workbenchRoutes 464 LOC) carry significant business logic that should live in services.</w:t>
      </w:r>
    </w:p>
    <w:p>
      <w:pPr>
        <w:pStyle w:val="ListParagraph"/>
        <w:numPr>
          <w:ilvl w:val="0"/>
          <w:numId w:val="2"/>
        </w:numPr>
        <w:spacing w:after="60"/>
      </w:pPr>
      <w:r>
        <w:t xml:space="preserve">13 single-engine adapter classes inherit from BaseAdapter.js, but the index.js fan-out is the only thing tying them together — no capability negotiation layer (e.g., does this adapter support EXPLAIN? wait events?). Frontend has to know which engine it is talking to.</w:t>
      </w:r>
    </w:p>
    <w:p>
      <w:pPr>
        <w:pStyle w:val="ListParagraph"/>
        <w:numPr>
          <w:ilvl w:val="0"/>
          <w:numId w:val="2"/>
        </w:numPr>
        <w:spacing w:after="60"/>
      </w:pPr>
      <w:r>
        <w:t xml:space="preserve">Dual chart stacks in frontend (Highcharts at the repo root dependency, Recharts in frontend/package.json) — choose one.</w:t>
      </w:r>
    </w:p>
    <w:p>
      <w:pPr>
        <w:pStyle w:val="Heading2"/>
      </w:pPr>
      <w:r>
        <w:t xml:space="preserve">5.4 Testing</w:t>
      </w:r>
    </w:p>
    <w:p>
      <w:pPr>
        <w:pStyle w:val="ListParagraph"/>
        <w:numPr>
          <w:ilvl w:val="0"/>
          <w:numId w:val="2"/>
        </w:numPr>
        <w:spacing w:after="60"/>
      </w:pPr>
      <w:r>
        <w:t xml:space="preserve">Backend has 29 .test.js files concentrated on security (SCIM, IP allow-list, audit, redaction) and individual services — coverage of the new audit fixes is good. No end-to-end / integration suite is visible at the repo root.</w:t>
      </w:r>
    </w:p>
    <w:p>
      <w:pPr>
        <w:pStyle w:val="ListParagraph"/>
        <w:numPr>
          <w:ilvl w:val="0"/>
          <w:numId w:val="2"/>
        </w:numPr>
        <w:spacing w:after="60"/>
      </w:pPr>
      <w:r>
        <w:t xml:space="preserve">Frontend has only 3 files under __tests__. The TESTING_FRAMEWORK_SUMMARY.txt and TESTING_QUICK_START.md describe a richer plan than what is checked in.</w:t>
      </w:r>
    </w:p>
    <w:p>
      <w:pPr>
        <w:pStyle w:val="ListParagraph"/>
        <w:numPr>
          <w:ilvl w:val="0"/>
          <w:numId w:val="2"/>
        </w:numPr>
        <w:spacing w:after="60"/>
      </w:pPr>
      <w:r>
        <w:t xml:space="preserve">No load-test harness for the OTLP ingest path or alert engine.</w:t>
      </w:r>
    </w:p>
    <w:p>
      <w:pPr>
        <w:pStyle w:val="Heading1"/>
      </w:pPr>
      <w:r>
        <w:t xml:space="preserve">6. Security &amp; Compliance Gaps</w:t>
      </w:r>
    </w:p>
    <w:p>
      <w:pPr>
        <w:spacing w:after="120"/>
      </w:pPr>
      <w:r>
        <w:t xml:space="preserve">The internal audit (ROADMAP_CODE_AUDIT.md, 2026-04-21) recorded 3 CRIT, 4 HIGH, 8 MED, 10 LOW findings — all marked fixed with regression tests. Strengths confirmed by sampling the code:</w:t>
      </w:r>
    </w:p>
    <w:p>
      <w:pPr>
        <w:pStyle w:val="ListParagraph"/>
        <w:numPr>
          <w:ilvl w:val="0"/>
          <w:numId w:val="2"/>
        </w:numPr>
        <w:spacing w:after="60"/>
      </w:pPr>
      <w:r>
        <w:t xml:space="preserve">Parameterised SQL across new routes; no string interpolation of user input.</w:t>
      </w:r>
    </w:p>
    <w:p>
      <w:pPr>
        <w:pStyle w:val="ListParagraph"/>
        <w:numPr>
          <w:ilvl w:val="0"/>
          <w:numId w:val="2"/>
        </w:numPr>
        <w:spacing w:after="60"/>
      </w:pPr>
      <w:r>
        <w:t xml:space="preserve">Helmet middleware, custom rate limiter, encryption service for connection secrets, workspace RBAC + tenant isolation middleware.</w:t>
      </w:r>
    </w:p>
    <w:p>
      <w:pPr>
        <w:pStyle w:val="ListParagraph"/>
        <w:numPr>
          <w:ilvl w:val="0"/>
          <w:numId w:val="2"/>
        </w:numPr>
        <w:spacing w:after="60"/>
      </w:pPr>
      <w:r>
        <w:t xml:space="preserve">Custom Semgrep rule set (.semgrep/fathom-rules.yml) and Gitleaks config (.gitleaks.toml) — better than most repos this size.</w:t>
      </w:r>
    </w:p>
    <w:p>
      <w:pPr>
        <w:pStyle w:val="ListParagraph"/>
        <w:numPr>
          <w:ilvl w:val="0"/>
          <w:numId w:val="2"/>
        </w:numPr>
        <w:spacing w:after="60"/>
      </w:pPr>
      <w:r>
        <w:t xml:space="preserve">Husky pre-commit + lint-staged.</w:t>
      </w:r>
    </w:p>
    <w:p>
      <w:pPr>
        <w:pStyle w:val="Heading2"/>
      </w:pPr>
      <w:r>
        <w:t xml:space="preserve">6.1 Remaining items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900"/>
        <w:gridCol w:w="5400"/>
        <w:gridCol w:w="1660"/>
      </w:tblGrid>
      <w:tr>
        <w:trPr>
          <w:tblHeader/>
        </w:trPr>
        <w:tc>
          <w:tcPr>
            <w:tcW w:type="dxa" w:w="1900"/>
            <w:tcBorders>
              <w:top w:val="single" w:color="BFBFBF" w:sz="1"/>
              <w:left w:val="single" w:color="BFBFBF" w:sz="1"/>
              <w:bottom w:val="single" w:color="BFBFBF" w:sz="1"/>
              <w:right w:val="single" w:color="BFBFBF" w:sz="1"/>
            </w:tcBorders>
            <w:shd w:fill="1F3A5F" w:color="auto" w:val="clear"/>
            <w:tcMar>
              <w:top w:type="dxa" w:w="80"/>
              <w:left w:type="dxa" w:w="100"/>
              <w:bottom w:type="dxa" w:w="80"/>
              <w:right w:type="dxa" w:w="100"/>
            </w:tcMar>
          </w:tcPr>
          <w:p>
            <w:r>
              <w:rPr>
                <w:b/>
                <w:bCs/>
                <w:color w:val="FFFFFF"/>
                <w:sz w:val="20"/>
                <w:szCs w:val="20"/>
              </w:rPr>
              <w:t xml:space="preserve">Area</w:t>
            </w:r>
          </w:p>
        </w:tc>
        <w:tc>
          <w:tcPr>
            <w:tcW w:type="dxa" w:w="5400"/>
            <w:tcBorders>
              <w:top w:val="single" w:color="BFBFBF" w:sz="1"/>
              <w:left w:val="single" w:color="BFBFBF" w:sz="1"/>
              <w:bottom w:val="single" w:color="BFBFBF" w:sz="1"/>
              <w:right w:val="single" w:color="BFBFBF" w:sz="1"/>
            </w:tcBorders>
            <w:shd w:fill="1F3A5F" w:color="auto" w:val="clear"/>
            <w:tcMar>
              <w:top w:type="dxa" w:w="80"/>
              <w:left w:type="dxa" w:w="100"/>
              <w:bottom w:type="dxa" w:w="80"/>
              <w:right w:type="dxa" w:w="100"/>
            </w:tcMar>
          </w:tcPr>
          <w:p>
            <w:r>
              <w:rPr>
                <w:b/>
                <w:bCs/>
                <w:color w:val="FFFFFF"/>
                <w:sz w:val="20"/>
                <w:szCs w:val="20"/>
              </w:rPr>
              <w:t xml:space="preserve">Detail</w:t>
            </w:r>
          </w:p>
        </w:tc>
        <w:tc>
          <w:tcPr>
            <w:tcW w:type="dxa" w:w="1660"/>
            <w:tcBorders>
              <w:top w:val="single" w:color="BFBFBF" w:sz="1"/>
              <w:left w:val="single" w:color="BFBFBF" w:sz="1"/>
              <w:bottom w:val="single" w:color="BFBFBF" w:sz="1"/>
              <w:right w:val="single" w:color="BFBFBF" w:sz="1"/>
            </w:tcBorders>
            <w:shd w:fill="1F3A5F" w:color="auto" w:val="clear"/>
            <w:tcMar>
              <w:top w:type="dxa" w:w="80"/>
              <w:left w:type="dxa" w:w="100"/>
              <w:bottom w:type="dxa" w:w="80"/>
              <w:right w:type="dxa" w:w="100"/>
            </w:tcMar>
          </w:tcPr>
          <w:p>
            <w:r>
              <w:rPr>
                <w:b/>
                <w:bCs/>
                <w:color w:val="FFFFFF"/>
                <w:sz w:val="20"/>
                <w:szCs w:val="20"/>
              </w:rPr>
              <w:t xml:space="preserve">Priority</w:t>
            </w:r>
          </w:p>
        </w:tc>
      </w:tr>
      <w:tr>
        <w:tc>
          <w:tcPr>
            <w:tcW w:type="dxa" w:w="190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sz w:val="20"/>
                <w:szCs w:val="20"/>
              </w:rPr>
              <w:t xml:space="preserve">Distributed rate limit</w:t>
            </w:r>
          </w:p>
        </w:tc>
        <w:tc>
          <w:tcPr>
            <w:tcW w:type="dxa" w:w="540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sz w:val="20"/>
                <w:szCs w:val="20"/>
              </w:rPr>
              <w:t xml:space="preserve">Current rateLimiter.js is in-process. With multiple backend instances behind a load balancer, limits are per-process. Move to Redis-backed (ioredis is already optional dep).</w:t>
            </w:r>
          </w:p>
        </w:tc>
        <w:tc>
          <w:tcPr>
            <w:tcW w:type="dxa" w:w="166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sz w:val="20"/>
                <w:szCs w:val="20"/>
              </w:rPr>
              <w:t xml:space="preserve">HIGH</w:t>
            </w:r>
          </w:p>
        </w:tc>
      </w:tr>
      <w:tr>
        <w:tc>
          <w:tcPr>
            <w:tcW w:type="dxa" w:w="1900"/>
            <w:tcBorders>
              <w:top w:val="single" w:color="BFBFBF" w:sz="1"/>
              <w:left w:val="single" w:color="BFBFBF" w:sz="1"/>
              <w:bottom w:val="single" w:color="BFBFBF" w:sz="1"/>
              <w:right w:val="single" w:color="BFBFBF" w:sz="1"/>
            </w:tcBorders>
            <w:shd w:fill="F2F2F2" w:color="auto" w:val="clear"/>
            <w:tcMar>
              <w:top w:type="dxa" w:w="80"/>
              <w:left w:type="dxa" w:w="100"/>
              <w:bottom w:type="dxa" w:w="80"/>
              <w:right w:type="dxa" w:w="100"/>
            </w:tcMar>
          </w:tcPr>
          <w:p>
            <w:r>
              <w:rPr>
                <w:sz w:val="20"/>
                <w:szCs w:val="20"/>
              </w:rPr>
              <w:t xml:space="preserve">Copilot history TTL</w:t>
            </w:r>
          </w:p>
        </w:tc>
        <w:tc>
          <w:tcPr>
            <w:tcW w:type="dxa" w:w="5400"/>
            <w:tcBorders>
              <w:top w:val="single" w:color="BFBFBF" w:sz="1"/>
              <w:left w:val="single" w:color="BFBFBF" w:sz="1"/>
              <w:bottom w:val="single" w:color="BFBFBF" w:sz="1"/>
              <w:right w:val="single" w:color="BFBFBF" w:sz="1"/>
            </w:tcBorders>
            <w:shd w:fill="F2F2F2" w:color="auto" w:val="clear"/>
            <w:tcMar>
              <w:top w:type="dxa" w:w="80"/>
              <w:left w:type="dxa" w:w="100"/>
              <w:bottom w:type="dxa" w:w="80"/>
              <w:right w:type="dxa" w:w="100"/>
            </w:tcMar>
          </w:tcPr>
          <w:p>
            <w:r>
              <w:rPr>
                <w:sz w:val="20"/>
                <w:szCs w:val="20"/>
              </w:rPr>
              <w:t xml:space="preserve">MED-4-era redaction is in place, but conversation history retention has no documented purge job. GDPR/PIPL exposure if a user pastes a regulated identifier.</w:t>
            </w:r>
          </w:p>
        </w:tc>
        <w:tc>
          <w:tcPr>
            <w:tcW w:type="dxa" w:w="1660"/>
            <w:tcBorders>
              <w:top w:val="single" w:color="BFBFBF" w:sz="1"/>
              <w:left w:val="single" w:color="BFBFBF" w:sz="1"/>
              <w:bottom w:val="single" w:color="BFBFBF" w:sz="1"/>
              <w:right w:val="single" w:color="BFBFBF" w:sz="1"/>
            </w:tcBorders>
            <w:shd w:fill="F2F2F2" w:color="auto" w:val="clear"/>
            <w:tcMar>
              <w:top w:type="dxa" w:w="80"/>
              <w:left w:type="dxa" w:w="100"/>
              <w:bottom w:type="dxa" w:w="80"/>
              <w:right w:type="dxa" w:w="100"/>
            </w:tcMar>
          </w:tcPr>
          <w:p>
            <w:r>
              <w:rPr>
                <w:sz w:val="20"/>
                <w:szCs w:val="20"/>
              </w:rPr>
              <w:t xml:space="preserve">HIGH</w:t>
            </w:r>
          </w:p>
        </w:tc>
      </w:tr>
      <w:tr>
        <w:tc>
          <w:tcPr>
            <w:tcW w:type="dxa" w:w="190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sz w:val="20"/>
                <w:szCs w:val="20"/>
              </w:rPr>
              <w:t xml:space="preserve">SCIM token rotation</w:t>
            </w:r>
          </w:p>
        </w:tc>
        <w:tc>
          <w:tcPr>
            <w:tcW w:type="dxa" w:w="540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sz w:val="20"/>
                <w:szCs w:val="20"/>
              </w:rPr>
              <w:t xml:space="preserve">MED-3 added expires_at; no documented rotation UI or webhook for IdP-driven re-issue.</w:t>
            </w:r>
          </w:p>
        </w:tc>
        <w:tc>
          <w:tcPr>
            <w:tcW w:type="dxa" w:w="166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sz w:val="20"/>
                <w:szCs w:val="20"/>
              </w:rPr>
              <w:t xml:space="preserve">MED</w:t>
            </w:r>
          </w:p>
        </w:tc>
      </w:tr>
      <w:tr>
        <w:tc>
          <w:tcPr>
            <w:tcW w:type="dxa" w:w="1900"/>
            <w:tcBorders>
              <w:top w:val="single" w:color="BFBFBF" w:sz="1"/>
              <w:left w:val="single" w:color="BFBFBF" w:sz="1"/>
              <w:bottom w:val="single" w:color="BFBFBF" w:sz="1"/>
              <w:right w:val="single" w:color="BFBFBF" w:sz="1"/>
            </w:tcBorders>
            <w:shd w:fill="F2F2F2" w:color="auto" w:val="clear"/>
            <w:tcMar>
              <w:top w:type="dxa" w:w="80"/>
              <w:left w:type="dxa" w:w="100"/>
              <w:bottom w:type="dxa" w:w="80"/>
              <w:right w:type="dxa" w:w="100"/>
            </w:tcMar>
          </w:tcPr>
          <w:p>
            <w:r>
              <w:rPr>
                <w:sz w:val="20"/>
                <w:szCs w:val="20"/>
              </w:rPr>
              <w:t xml:space="preserve">Dependency CVE scanning in CI</w:t>
            </w:r>
          </w:p>
        </w:tc>
        <w:tc>
          <w:tcPr>
            <w:tcW w:type="dxa" w:w="5400"/>
            <w:tcBorders>
              <w:top w:val="single" w:color="BFBFBF" w:sz="1"/>
              <w:left w:val="single" w:color="BFBFBF" w:sz="1"/>
              <w:bottom w:val="single" w:color="BFBFBF" w:sz="1"/>
              <w:right w:val="single" w:color="BFBFBF" w:sz="1"/>
            </w:tcBorders>
            <w:shd w:fill="F2F2F2" w:color="auto" w:val="clear"/>
            <w:tcMar>
              <w:top w:type="dxa" w:w="80"/>
              <w:left w:type="dxa" w:w="100"/>
              <w:bottom w:type="dxa" w:w="80"/>
              <w:right w:type="dxa" w:w="100"/>
            </w:tcMar>
          </w:tcPr>
          <w:p>
            <w:r>
              <w:rPr>
                <w:sz w:val="20"/>
                <w:szCs w:val="20"/>
              </w:rPr>
              <w:t xml:space="preserve">.github/ folder exists; no Dependabot/Renovate config visible at repo root. With 100+ deps including AWS SDK and DB drivers, scheduled audit is mandatory.</w:t>
            </w:r>
          </w:p>
        </w:tc>
        <w:tc>
          <w:tcPr>
            <w:tcW w:type="dxa" w:w="1660"/>
            <w:tcBorders>
              <w:top w:val="single" w:color="BFBFBF" w:sz="1"/>
              <w:left w:val="single" w:color="BFBFBF" w:sz="1"/>
              <w:bottom w:val="single" w:color="BFBFBF" w:sz="1"/>
              <w:right w:val="single" w:color="BFBFBF" w:sz="1"/>
            </w:tcBorders>
            <w:shd w:fill="F2F2F2" w:color="auto" w:val="clear"/>
            <w:tcMar>
              <w:top w:type="dxa" w:w="80"/>
              <w:left w:type="dxa" w:w="100"/>
              <w:bottom w:type="dxa" w:w="80"/>
              <w:right w:type="dxa" w:w="100"/>
            </w:tcMar>
          </w:tcPr>
          <w:p>
            <w:r>
              <w:rPr>
                <w:sz w:val="20"/>
                <w:szCs w:val="20"/>
              </w:rPr>
              <w:t xml:space="preserve">HIGH</w:t>
            </w:r>
          </w:p>
        </w:tc>
      </w:tr>
      <w:tr>
        <w:tc>
          <w:tcPr>
            <w:tcW w:type="dxa" w:w="190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sz w:val="20"/>
                <w:szCs w:val="20"/>
              </w:rPr>
              <w:t xml:space="preserve">Connection-string handling</w:t>
            </w:r>
          </w:p>
        </w:tc>
        <w:tc>
          <w:tcPr>
            <w:tcW w:type="dxa" w:w="540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sz w:val="20"/>
                <w:szCs w:val="20"/>
              </w:rPr>
              <w:t xml:space="preserve">ENCRYPTION_KEY at rest is correct; no documented field-level encryption for query history or workbench saved queries (which may contain literals with PII).</w:t>
            </w:r>
          </w:p>
        </w:tc>
        <w:tc>
          <w:tcPr>
            <w:tcW w:type="dxa" w:w="166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sz w:val="20"/>
                <w:szCs w:val="20"/>
              </w:rPr>
              <w:t xml:space="preserve">MED</w:t>
            </w:r>
          </w:p>
        </w:tc>
      </w:tr>
      <w:tr>
        <w:tc>
          <w:tcPr>
            <w:tcW w:type="dxa" w:w="1900"/>
            <w:tcBorders>
              <w:top w:val="single" w:color="BFBFBF" w:sz="1"/>
              <w:left w:val="single" w:color="BFBFBF" w:sz="1"/>
              <w:bottom w:val="single" w:color="BFBFBF" w:sz="1"/>
              <w:right w:val="single" w:color="BFBFBF" w:sz="1"/>
            </w:tcBorders>
            <w:shd w:fill="F2F2F2" w:color="auto" w:val="clear"/>
            <w:tcMar>
              <w:top w:type="dxa" w:w="80"/>
              <w:left w:type="dxa" w:w="100"/>
              <w:bottom w:type="dxa" w:w="80"/>
              <w:right w:type="dxa" w:w="100"/>
            </w:tcMar>
          </w:tcPr>
          <w:p>
            <w:r>
              <w:rPr>
                <w:sz w:val="20"/>
                <w:szCs w:val="20"/>
              </w:rPr>
              <w:t xml:space="preserve">TLS strictness in prod</w:t>
            </w:r>
          </w:p>
        </w:tc>
        <w:tc>
          <w:tcPr>
            <w:tcW w:type="dxa" w:w="5400"/>
            <w:tcBorders>
              <w:top w:val="single" w:color="BFBFBF" w:sz="1"/>
              <w:left w:val="single" w:color="BFBFBF" w:sz="1"/>
              <w:bottom w:val="single" w:color="BFBFBF" w:sz="1"/>
              <w:right w:val="single" w:color="BFBFBF" w:sz="1"/>
            </w:tcBorders>
            <w:shd w:fill="F2F2F2" w:color="auto" w:val="clear"/>
            <w:tcMar>
              <w:top w:type="dxa" w:w="80"/>
              <w:left w:type="dxa" w:w="100"/>
              <w:bottom w:type="dxa" w:w="80"/>
              <w:right w:type="dxa" w:w="100"/>
            </w:tcMar>
          </w:tcPr>
          <w:p>
            <w:r>
              <w:rPr>
                <w:sz w:val="20"/>
                <w:szCs w:val="20"/>
              </w:rPr>
              <w:t xml:space="preserve">FATHOM_TLS_ALLOW_SELF_SIGNED env exists; default is strict in production per README, but no enforcement test that catches a regression.</w:t>
            </w:r>
          </w:p>
        </w:tc>
        <w:tc>
          <w:tcPr>
            <w:tcW w:type="dxa" w:w="1660"/>
            <w:tcBorders>
              <w:top w:val="single" w:color="BFBFBF" w:sz="1"/>
              <w:left w:val="single" w:color="BFBFBF" w:sz="1"/>
              <w:bottom w:val="single" w:color="BFBFBF" w:sz="1"/>
              <w:right w:val="single" w:color="BFBFBF" w:sz="1"/>
            </w:tcBorders>
            <w:shd w:fill="F2F2F2" w:color="auto" w:val="clear"/>
            <w:tcMar>
              <w:top w:type="dxa" w:w="80"/>
              <w:left w:type="dxa" w:w="100"/>
              <w:bottom w:type="dxa" w:w="80"/>
              <w:right w:type="dxa" w:w="100"/>
            </w:tcMar>
          </w:tcPr>
          <w:p>
            <w:r>
              <w:rPr>
                <w:sz w:val="20"/>
                <w:szCs w:val="20"/>
              </w:rPr>
              <w:t xml:space="preserve">LOW</w:t>
            </w:r>
          </w:p>
        </w:tc>
      </w:tr>
      <w:tr>
        <w:tc>
          <w:tcPr>
            <w:tcW w:type="dxa" w:w="190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sz w:val="20"/>
                <w:szCs w:val="20"/>
              </w:rPr>
              <w:t xml:space="preserve">SOC2 attestation</w:t>
            </w:r>
          </w:p>
        </w:tc>
        <w:tc>
          <w:tcPr>
            <w:tcW w:type="dxa" w:w="540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sz w:val="20"/>
                <w:szCs w:val="20"/>
              </w:rPr>
              <w:t xml:space="preserve">Checklist file exists; no evidence of completed Type II audit. Required for enterprise procurement.</w:t>
            </w:r>
          </w:p>
        </w:tc>
        <w:tc>
          <w:tcPr>
            <w:tcW w:type="dxa" w:w="166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sz w:val="20"/>
                <w:szCs w:val="20"/>
              </w:rPr>
              <w:t xml:space="preserve">HIGH</w:t>
            </w:r>
          </w:p>
        </w:tc>
      </w:tr>
      <w:tr>
        <w:tc>
          <w:tcPr>
            <w:tcW w:type="dxa" w:w="1900"/>
            <w:tcBorders>
              <w:top w:val="single" w:color="BFBFBF" w:sz="1"/>
              <w:left w:val="single" w:color="BFBFBF" w:sz="1"/>
              <w:bottom w:val="single" w:color="BFBFBF" w:sz="1"/>
              <w:right w:val="single" w:color="BFBFBF" w:sz="1"/>
            </w:tcBorders>
            <w:shd w:fill="F2F2F2" w:color="auto" w:val="clear"/>
            <w:tcMar>
              <w:top w:type="dxa" w:w="80"/>
              <w:left w:type="dxa" w:w="100"/>
              <w:bottom w:type="dxa" w:w="80"/>
              <w:right w:type="dxa" w:w="100"/>
            </w:tcMar>
          </w:tcPr>
          <w:p>
            <w:r>
              <w:rPr>
                <w:sz w:val="20"/>
                <w:szCs w:val="20"/>
              </w:rPr>
              <w:t xml:space="preserve">Audit-log signing</w:t>
            </w:r>
          </w:p>
        </w:tc>
        <w:tc>
          <w:tcPr>
            <w:tcW w:type="dxa" w:w="5400"/>
            <w:tcBorders>
              <w:top w:val="single" w:color="BFBFBF" w:sz="1"/>
              <w:left w:val="single" w:color="BFBFBF" w:sz="1"/>
              <w:bottom w:val="single" w:color="BFBFBF" w:sz="1"/>
              <w:right w:val="single" w:color="BFBFBF" w:sz="1"/>
            </w:tcBorders>
            <w:shd w:fill="F2F2F2" w:color="auto" w:val="clear"/>
            <w:tcMar>
              <w:top w:type="dxa" w:w="80"/>
              <w:left w:type="dxa" w:w="100"/>
              <w:bottom w:type="dxa" w:w="80"/>
              <w:right w:type="dxa" w:w="100"/>
            </w:tcMar>
          </w:tcPr>
          <w:p>
            <w:r>
              <w:rPr>
                <w:sz w:val="20"/>
                <w:szCs w:val="20"/>
              </w:rPr>
              <w:t xml:space="preserve">LOW-4 closed by adding SHA256 to S3 metadata; no asymmetric signing chain for tamper-evidence across the bucket.</w:t>
            </w:r>
          </w:p>
        </w:tc>
        <w:tc>
          <w:tcPr>
            <w:tcW w:type="dxa" w:w="1660"/>
            <w:tcBorders>
              <w:top w:val="single" w:color="BFBFBF" w:sz="1"/>
              <w:left w:val="single" w:color="BFBFBF" w:sz="1"/>
              <w:bottom w:val="single" w:color="BFBFBF" w:sz="1"/>
              <w:right w:val="single" w:color="BFBFBF" w:sz="1"/>
            </w:tcBorders>
            <w:shd w:fill="F2F2F2" w:color="auto" w:val="clear"/>
            <w:tcMar>
              <w:top w:type="dxa" w:w="80"/>
              <w:left w:type="dxa" w:w="100"/>
              <w:bottom w:type="dxa" w:w="80"/>
              <w:right w:type="dxa" w:w="100"/>
            </w:tcMar>
          </w:tcPr>
          <w:p>
            <w:r>
              <w:rPr>
                <w:sz w:val="20"/>
                <w:szCs w:val="20"/>
              </w:rPr>
              <w:t xml:space="preserve">LOW</w:t>
            </w:r>
          </w:p>
        </w:tc>
      </w:tr>
    </w:tbl>
    <w:p>
      <w:pPr>
        <w:pStyle w:val="Heading1"/>
      </w:pPr>
      <w:r>
        <w:t xml:space="preserve">7. Performance &amp; Scalability Gaps</w:t>
      </w:r>
    </w:p>
    <w:p>
      <w:pPr>
        <w:pStyle w:val="ListParagraph"/>
        <w:numPr>
          <w:ilvl w:val="0"/>
          <w:numId w:val="2"/>
        </w:numPr>
        <w:spacing w:after="60"/>
      </w:pPr>
      <w:r>
        <w:t xml:space="preserve">No documented horizontal scaling story. Express + ws + node-cron in one process — backups, alerts, OTLP ingest, and synthetic checks all run in the same Node process. Splitting into a web tier and a worker tier is overdue.</w:t>
      </w:r>
    </w:p>
    <w:p>
      <w:pPr>
        <w:pStyle w:val="ListParagraph"/>
        <w:numPr>
          <w:ilvl w:val="0"/>
          <w:numId w:val="2"/>
        </w:numPr>
        <w:spacing w:after="60"/>
      </w:pPr>
      <w:r>
        <w:t xml:space="preserve">OTLP ingest (otlpTraceRoutes.js / otlpTraceService.js) is single-process; no queue (SQS/Kafka/Redis-streams) in front. Bursty trace traffic will block the event loop.</w:t>
      </w:r>
    </w:p>
    <w:p>
      <w:pPr>
        <w:pStyle w:val="ListParagraph"/>
        <w:numPr>
          <w:ilvl w:val="0"/>
          <w:numId w:val="2"/>
        </w:numPr>
        <w:spacing w:after="60"/>
      </w:pPr>
      <w:r>
        <w:t xml:space="preserve">No connection-pool sharing or pooling proxy (PgBouncer / RDS Proxy guidance) in docs — backend creates its own pool per monitored connection.</w:t>
      </w:r>
    </w:p>
    <w:p>
      <w:pPr>
        <w:pStyle w:val="ListParagraph"/>
        <w:numPr>
          <w:ilvl w:val="0"/>
          <w:numId w:val="2"/>
        </w:numPr>
        <w:spacing w:after="60"/>
      </w:pPr>
      <w:r>
        <w:t xml:space="preserve">Synthetic monitor (syntheticMonitor.js) intentionally drops overlapping requests rather than queuing. Acceptable trade-off, but the customer can't tell from the UI that a check was skipped.</w:t>
      </w:r>
    </w:p>
    <w:p>
      <w:pPr>
        <w:pStyle w:val="ListParagraph"/>
        <w:numPr>
          <w:ilvl w:val="0"/>
          <w:numId w:val="2"/>
        </w:numPr>
        <w:spacing w:after="60"/>
      </w:pPr>
      <w:r>
        <w:t xml:space="preserve">Python analytics worker (python/analysis, python/ml) has its own FastAPI surface — no documented contract for backpressure between Node backend and Python worker; no shared queue.</w:t>
      </w:r>
    </w:p>
    <w:p>
      <w:pPr>
        <w:pStyle w:val="ListParagraph"/>
        <w:numPr>
          <w:ilvl w:val="0"/>
          <w:numId w:val="2"/>
        </w:numPr>
        <w:spacing w:after="60"/>
      </w:pPr>
      <w:r>
        <w:t xml:space="preserve">No documented benchmark suite. Competitors publish 'X queries/sec ingest per agent' numbers; FATHOM has no such reference.</w:t>
      </w:r>
    </w:p>
    <w:p>
      <w:pPr>
        <w:pStyle w:val="ListParagraph"/>
        <w:numPr>
          <w:ilvl w:val="0"/>
          <w:numId w:val="2"/>
        </w:numPr>
        <w:spacing w:after="60"/>
      </w:pPr>
      <w:r>
        <w:t xml:space="preserve">Frontend bundles two charting libs (Highcharts + Recharts) plus d3 — bundle size will be measurable. Run a Vite analyser pass.</w:t>
      </w:r>
    </w:p>
    <w:p>
      <w:pPr>
        <w:pStyle w:val="Heading1"/>
      </w:pPr>
      <w:r>
        <w:t xml:space="preserve">8. Prioritised Recommendations</w:t>
      </w:r>
    </w:p>
    <w:p>
      <w:pPr>
        <w:pStyle w:val="Heading2"/>
      </w:pPr>
      <w:r>
        <w:t xml:space="preserve">8.1 Next 30 days</w:t>
      </w:r>
    </w:p>
    <w:p>
      <w:pPr>
        <w:pStyle w:val="ListParagraph"/>
        <w:numPr>
          <w:ilvl w:val="0"/>
          <w:numId w:val="2"/>
        </w:numPr>
        <w:spacing w:after="60"/>
      </w:pPr>
      <w:r>
        <w:t xml:space="preserve">Add Redis-backed distributed rate limiter (ioredis is already an optional dep).</w:t>
      </w:r>
    </w:p>
    <w:p>
      <w:pPr>
        <w:pStyle w:val="ListParagraph"/>
        <w:numPr>
          <w:ilvl w:val="0"/>
          <w:numId w:val="2"/>
        </w:numPr>
        <w:spacing w:after="60"/>
      </w:pPr>
      <w:r>
        <w:t xml:space="preserve">Wire Dependabot or Renovate; run npm audit + pip-audit on every PR; gate on critical CVEs.</w:t>
      </w:r>
    </w:p>
    <w:p>
      <w:pPr>
        <w:pStyle w:val="ListParagraph"/>
        <w:numPr>
          <w:ilvl w:val="0"/>
          <w:numId w:val="2"/>
        </w:numPr>
        <w:spacing w:after="60"/>
      </w:pPr>
      <w:r>
        <w:t xml:space="preserve">Ship a wait-event sampler for Postgres (pg_stat_activity poller into a time-series table) — closes the single largest analytics gap versus DBM/PMM.</w:t>
      </w:r>
    </w:p>
    <w:p>
      <w:pPr>
        <w:pStyle w:val="ListParagraph"/>
        <w:numPr>
          <w:ilvl w:val="0"/>
          <w:numId w:val="2"/>
        </w:numPr>
        <w:spacing w:after="60"/>
      </w:pPr>
      <w:r>
        <w:t xml:space="preserve">Pick one charting library and remove the other; delete the .pristine, .patch, and V1/V2 component duplicates.</w:t>
      </w:r>
    </w:p>
    <w:p>
      <w:pPr>
        <w:pStyle w:val="ListParagraph"/>
        <w:numPr>
          <w:ilvl w:val="0"/>
          <w:numId w:val="2"/>
        </w:numPr>
        <w:spacing w:after="60"/>
      </w:pPr>
      <w:r>
        <w:t xml:space="preserve">Document an explicit web/worker split in docs/ARCHITECTURE.md even before splitting the process.</w:t>
      </w:r>
    </w:p>
    <w:p>
      <w:pPr>
        <w:pStyle w:val="Heading2"/>
      </w:pPr>
      <w:r>
        <w:t xml:space="preserve">8.2 Next quarter</w:t>
      </w:r>
    </w:p>
    <w:p>
      <w:pPr>
        <w:pStyle w:val="ListParagraph"/>
        <w:numPr>
          <w:ilvl w:val="0"/>
          <w:numId w:val="2"/>
        </w:numPr>
        <w:spacing w:after="60"/>
      </w:pPr>
      <w:r>
        <w:t xml:space="preserve">Cluster-aware index advisor: aggregate pg_stat_user_indexes across a primary + replica group; only flag unused if unused everywhere.</w:t>
      </w:r>
    </w:p>
    <w:p>
      <w:pPr>
        <w:pStyle w:val="ListParagraph"/>
        <w:numPr>
          <w:ilvl w:val="0"/>
          <w:numId w:val="2"/>
        </w:numPr>
        <w:spacing w:after="60"/>
      </w:pPr>
      <w:r>
        <w:t xml:space="preserve">Query-rewrite workbench: add an A/B EXPLAIN ANALYZE harness so a copilot-suggested rewrite can be benchmarked against the original with one click.</w:t>
      </w:r>
    </w:p>
    <w:p>
      <w:pPr>
        <w:pStyle w:val="ListParagraph"/>
        <w:numPr>
          <w:ilvl w:val="0"/>
          <w:numId w:val="2"/>
        </w:numPr>
        <w:spacing w:after="60"/>
      </w:pPr>
      <w:r>
        <w:t xml:space="preserve">Move alert engine, OTLP ingest, synthetic monitor, and node-cron into a separate worker process; put a Redis or NATS queue between the web tier and the workers.</w:t>
      </w:r>
    </w:p>
    <w:p>
      <w:pPr>
        <w:pStyle w:val="ListParagraph"/>
        <w:numPr>
          <w:ilvl w:val="0"/>
          <w:numId w:val="2"/>
        </w:numPr>
        <w:spacing w:after="60"/>
      </w:pPr>
      <w:r>
        <w:t xml:space="preserve">Finish the TypeScript migration end-to-end: convert backend services + routes; introduce shared/ Zod schemas; type-check in CI.</w:t>
      </w:r>
    </w:p>
    <w:p>
      <w:pPr>
        <w:pStyle w:val="ListParagraph"/>
        <w:numPr>
          <w:ilvl w:val="0"/>
          <w:numId w:val="2"/>
        </w:numPr>
        <w:spacing w:after="60"/>
      </w:pPr>
      <w:r>
        <w:t xml:space="preserve">Add a real backup/restore service behind BackupRecoveryTab (pgBackRest + mongodump orchestration), or remove the tab and ship later.</w:t>
      </w:r>
    </w:p>
    <w:p>
      <w:pPr>
        <w:pStyle w:val="Heading2"/>
      </w:pPr>
      <w:r>
        <w:t xml:space="preserve">8.3 Strategic</w:t>
      </w:r>
    </w:p>
    <w:p>
      <w:pPr>
        <w:pStyle w:val="ListParagraph"/>
        <w:numPr>
          <w:ilvl w:val="0"/>
          <w:numId w:val="2"/>
        </w:numPr>
        <w:spacing w:after="60"/>
      </w:pPr>
      <w:r>
        <w:t xml:space="preserve">Build a managed agent — even a thin Go binary that auto-discovers local DBs, samples wait events, and forwards via the existing SDK protocol. This is what closes the productisation gap with Datadog/PMM.</w:t>
      </w:r>
    </w:p>
    <w:p>
      <w:pPr>
        <w:pStyle w:val="ListParagraph"/>
        <w:numPr>
          <w:ilvl w:val="0"/>
          <w:numId w:val="2"/>
        </w:numPr>
        <w:spacing w:after="60"/>
      </w:pPr>
      <w:r>
        <w:t xml:space="preserve">Pursue SOC2 Type II — the controls checklist is already mapped; the gap is evidence and an auditor.</w:t>
      </w:r>
    </w:p>
    <w:p>
      <w:pPr>
        <w:pStyle w:val="ListParagraph"/>
        <w:numPr>
          <w:ilvl w:val="0"/>
          <w:numId w:val="2"/>
        </w:numPr>
        <w:spacing w:after="60"/>
      </w:pPr>
      <w:r>
        <w:t xml:space="preserve">Publish a docs site (Mintlify/Docusaurus) over backend/docs/*.md; current README-as-docs ceiling is low.</w:t>
      </w:r>
    </w:p>
    <w:p>
      <w:pPr>
        <w:pStyle w:val="ListParagraph"/>
        <w:numPr>
          <w:ilvl w:val="0"/>
          <w:numId w:val="2"/>
        </w:numPr>
        <w:spacing w:after="60"/>
      </w:pPr>
      <w:r>
        <w:t xml:space="preserve">Decide on engine focus. Supporting 14 adapters is impressive but expensive to maintain at depth — Datadog wins on breadth, pganalyze wins on depth (PG only). FATHOM is mid-pack on both; pick one.</w:t>
      </w:r>
    </w:p>
    <w:p>
      <w:pPr>
        <w:pStyle w:val="Heading1"/>
      </w:pPr>
      <w:r>
        <w:t xml:space="preserve">9. Sources</w:t>
      </w:r>
    </w:p>
    <w:p>
      <w:pPr>
        <w:pStyle w:val="ListParagraph"/>
        <w:numPr>
          <w:ilvl w:val="0"/>
          <w:numId w:val="2"/>
        </w:numPr>
        <w:spacing w:after="60"/>
      </w:pPr>
      <w:r>
        <w:t xml:space="preserve">FATHOM README, ROADMAP_CODE_AUDIT.md (2026-04-21), FATHOM-TypeScript-TechStack.md, backend/docs/INDEX_ADVISOR.md, TRACING.md, AUDIT_EXPORT.md (in-repo).</w:t>
      </w:r>
    </w:p>
    <w:p>
      <w:pPr>
        <w:pStyle w:val="ListParagraph"/>
        <w:numPr>
          <w:ilvl w:val="0"/>
          <w:numId w:val="2"/>
        </w:numPr>
        <w:spacing w:after="60"/>
      </w:pPr>
      <w:r>
        <w:t xml:space="preserve">Datadog Database Monitoring — docs.datadoghq.com/database_monitoring/.</w:t>
      </w:r>
    </w:p>
    <w:p>
      <w:pPr>
        <w:pStyle w:val="ListParagraph"/>
        <w:numPr>
          <w:ilvl w:val="0"/>
          <w:numId w:val="2"/>
        </w:numPr>
        <w:spacing w:after="60"/>
      </w:pPr>
      <w:r>
        <w:t xml:space="preserve">pganalyze Index Advisor (cluster-aware, Feb 2026) — pganalyze.com/blog/cluster-aware-index-advisor.</w:t>
      </w:r>
    </w:p>
    <w:p>
      <w:pPr>
        <w:pStyle w:val="ListParagraph"/>
        <w:numPr>
          <w:ilvl w:val="0"/>
          <w:numId w:val="2"/>
        </w:numPr>
        <w:spacing w:after="60"/>
      </w:pPr>
      <w:r>
        <w:t xml:space="preserve">Percona PMM 2026 release notes — percona.com/monitoring; github.com/percona/pmm/releases.</w:t>
      </w:r>
    </w:p>
    <w:p>
      <w:pPr>
        <w:pStyle w:val="ListParagraph"/>
        <w:numPr>
          <w:ilvl w:val="0"/>
          <w:numId w:val="2"/>
        </w:numPr>
        <w:spacing w:after="60"/>
      </w:pPr>
      <w:r>
        <w:t xml:space="preserve">Industry round-ups: parseable.com, betterstack.com, signoz.io, geekflare.com (2026 reviews).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FATHOM — Gap Analysis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2026-06-02T04:45:39.363Z</dcterms:created>
  <dcterms:modified xsi:type="dcterms:W3CDTF">2026-06-02T04:45:39.363Z</dcterms:modified>
</cp:coreProperties>
</file>

<file path=docProps/custom.xml><?xml version="1.0" encoding="utf-8"?>
<Properties xmlns="http://schemas.openxmlformats.org/officeDocument/2006/custom-properties" xmlns:vt="http://schemas.openxmlformats.org/officeDocument/2006/docPropsVTypes"/>
</file>