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FATHOM (PostgresTool)</w:t>
      </w:r>
    </w:p>
    <w:p>
      <w:pPr>
        <w:spacing w:after="60"/>
      </w:pPr>
      <w:r>
        <w:rPr>
          <w:color w:val="444444"/>
          <w:sz w:val="28"/>
          <w:szCs w:val="28"/>
        </w:rPr>
        <w:t xml:space="preserve">Competitive Gap Analysis — Market Update</w:t>
      </w:r>
    </w:p>
    <w:p>
      <w:pPr>
        <w:pBdr>
          <w:bottom w:val="single" w:color="2E75B6" w:sz="6" w:space="1"/>
        </w:pBdr>
        <w:spacing w:after="240"/>
      </w:pPr>
      <w:r>
        <w:rPr>
          <w:color w:val="666666"/>
          <w:sz w:val="20"/>
          <w:szCs w:val="20"/>
        </w:rPr>
        <w:t xml:space="preserve">Prepared 10 June 2026 · supersedes the 2 June 2026 analysis</w:t>
      </w:r>
    </w:p>
    <w:p>
      <w:pPr>
        <w:pStyle w:val="Heading1"/>
      </w:pPr>
      <w:r>
        <w:t xml:space="preserve">1. Executive Summary</w:t>
      </w:r>
    </w:p>
    <w:p>
      <w:pPr>
        <w:spacing w:after="120"/>
      </w:pPr>
      <w:r>
        <w:t xml:space="preserve">FATHOM is a multi-engine database monitoring and administration platform (14 database adapters, React 19 SPA, Express/TypeScript control plane, Python ML worker, three client SDKs). Since the 2 June analysis, the codebase closed several of its most-cited functional gaps: wait-event sampling with 5-minute rollups, auto_explain log ingestion, a pluggable anomaly-detection engine (EWMA, MAD, rolling z-score), an alert RCA service, agent/observability ingest endpoints, and user-built custom dashboards. The backend completed a full TypeScript migration (207 files), the data layer moved to TanStack Query, and charts consolidated onto a single engine.</w:t>
      </w:r>
    </w:p>
    <w:p>
      <w:pPr>
        <w:spacing w:after="120"/>
      </w:pPr>
      <w:r>
        <w:t xml:space="preserve">Measured against the 2026 market (pganalyze, Datadog DBM, Percona PMM 3.7, SolarWinds DPA, AWS Performance Insights, and the new wave of AI agents such as Xata Agent), FATHOM’s remaining gaps cluster in three areas: (1) operational maturity — hosting, packaged collectors, backups, and docs are below SaaS-competitor baseline; (2) depth of query optimization — competitors now ship continuous plan analysis with concrete rewrite recommendations; and (3) proactive AI — the market moved from chat copilots to autonomous monitoring agents.</w:t>
      </w:r>
    </w:p>
    <w:p>
      <w:pPr>
        <w:pStyle w:val="Heading1"/>
      </w:pPr>
      <w:r>
        <w:t xml:space="preserve">2. Competitive Landscape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4030"/>
        <w:gridCol w:w="3580"/>
      </w:tblGrid>
      <w:tr>
        <w:tc>
          <w:tcPr>
            <w:tcW w:type="dxa" w:w="17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Product</w:t>
            </w:r>
          </w:p>
        </w:tc>
        <w:tc>
          <w:tcPr>
            <w:tcW w:type="dxa" w:w="40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Defining capabilities (2026)</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Notes</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pganalyze</w:t>
            </w:r>
          </w:p>
        </w:tc>
        <w:tc>
          <w:tcPr>
            <w:tcW w:type="dxa" w:w="40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Index Advisor with “what-if” indexing engine testing hundreds of index combinations; Query Advisor (GA) turns collected EXPLAIN plans into concrete query rewrites; per-table autovacuum advisors; auto_explain capture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Postgres-only; the depth benchmark for query optimization</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Datadog DBM</w:t>
            </w:r>
          </w:p>
        </w:tc>
        <w:tc>
          <w:tcPr>
            <w:tcW w:type="dxa" w:w="40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Auto EXPLAIN ANALYZE capture with interactive plan visualization; Schema Explorer with continuous schema tracking (PG/MySQL/SQL Server); AI-powered RCA and automated query-optimization recommendations; blocking-query insights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Premium pricing; part of full observability suite</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Percona PMM 3.7</w:t>
            </w:r>
          </w:p>
        </w:tc>
        <w:tc>
          <w:tcPr>
            <w:tcW w:type="dxa" w:w="40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Query Analytics across MySQL/MongoDB/PG; real-time query analytics (MongoDB); Percona Advisors (security/config/perf checks); built-in backup orchestration; open source, self-hosted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Closest self-hosted comparable; 3 engines vs FATHOM’s 14</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SolarWinds DPA</w:t>
            </w:r>
          </w:p>
        </w:tc>
        <w:tc>
          <w:tcPr>
            <w:tcW w:type="dxa" w:w="40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Wait-based analysis; ML anomaly detection; blocking analysis; agentless; Oracle/SQL Server/MySQL/Aurora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Strong in legacy enterprise estates</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AWS Performance Insights</w:t>
            </w:r>
          </w:p>
        </w:tc>
        <w:tc>
          <w:tcPr>
            <w:tcW w:type="dxa" w:w="40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Average Active Sessions baseline; dimension slicing by wait/SQL/host/user; free tier on RDS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Default starting point for RDS customers</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Xata Agent (OSS) / EverSQL</w:t>
            </w:r>
          </w:p>
        </w:tc>
        <w:tc>
          <w:tcPr>
            <w:tcW w:type="dxa" w:w="40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Autonomous AI agent that monitors, diagnoses, and proposes fixes (Xata); AI query rewriting and text-to-SQL (EverSQL). OtterTune is defunct.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Signals the shift from dashboards to agents</w:t>
            </w:r>
          </w:p>
        </w:tc>
      </w:tr>
    </w:tbl>
    <w:p>
      <w:pPr>
        <w:pStyle w:val="Heading1"/>
      </w:pPr>
      <w:r>
        <w:t xml:space="preserve">3. Gaps Closed Since 2 June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June-2 gap</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Evidence in tree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Wait-event time decomposition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Closed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services/waitEventSampler.ts; WaitEventsChart with 5m rollups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Log-based EXPLAIN capture (auto_explain)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Closed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services/autoExplainService.ts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Anomaly detection engine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Closed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services/anomaly/* (EWMA, MAD, rolling z-score, registry)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AI-driven RCA (reactive)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Partially closed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services/alertRcaService.ts drafts RCA on alerts; still not autonomous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Managed collector ingest path</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Partially closed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agentIngestRoutes.ts + observabilityIngestRoutes.ts + SDKs; no packaged host agent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User-built dashboards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Closed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CustomDashboardTab with widget builder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Partial TypeScript migration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Closed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Backend fully .ts (207 files), strict tsconfig, tsx runtime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Two chart libraries shipped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Closed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Single Highcharts engine via compat layer; recharts/d3 removed</w:t>
            </w:r>
          </w:p>
        </w:tc>
      </w:tr>
    </w:tbl>
    <w:p>
      <w:pPr>
        <w:pStyle w:val="Heading1"/>
      </w:pPr>
      <w:r>
        <w:t xml:space="preserve">4. Remaining Gaps, Prioritized</w:t>
      </w:r>
    </w:p>
    <w:p>
      <w:pPr>
        <w:pStyle w:val="Heading2"/>
      </w:pPr>
      <w:r>
        <w:t xml:space="preserve">P0 — Blocks evaluation and daily-driver use</w:t>
      </w:r>
    </w:p>
    <w:p>
      <w:pPr>
        <w:pStyle w:val="ListParagraph"/>
        <w:numPr>
          <w:ilvl w:val="0"/>
          <w:numId w:val="2"/>
        </w:numPr>
        <w:spacing w:after="60"/>
      </w:pPr>
      <w:r>
        <w:rPr>
          <w:b/>
          <w:bCs/>
        </w:rPr>
        <w:t xml:space="preserve">Serving infrastructure: </w:t>
      </w:r>
      <w:r>
        <w:t xml:space="preserve">the API currently runs as Vercel serverless functions; measured cold starts of 2–5s per parallel request produce multi-second dashboard loads and “OFFLINE” flashes. Every competitor evaluates as instant. Restore an always-on backend (Railway service is currently “Application not found”) and set VITE_API_URL.</w:t>
      </w:r>
    </w:p>
    <w:p>
      <w:pPr>
        <w:pStyle w:val="ListParagraph"/>
        <w:numPr>
          <w:ilvl w:val="0"/>
          <w:numId w:val="2"/>
        </w:numPr>
        <w:spacing w:after="60"/>
      </w:pPr>
      <w:r>
        <w:rPr>
          <w:b/>
          <w:bCs/>
        </w:rPr>
        <w:t xml:space="preserve">Packaged collector/agent: </w:t>
      </w:r>
      <w:r>
        <w:t xml:space="preserve">ingest endpoints and SDKs exist, but there is no installable host agent with one-line setup, auto-discovery, and fleet upgrade (Datadog Agent, PMM client, pganalyze collector). This is the single largest onboarding gap.</w:t>
      </w:r>
    </w:p>
    <w:p>
      <w:pPr>
        <w:pStyle w:val="ListParagraph"/>
        <w:numPr>
          <w:ilvl w:val="0"/>
          <w:numId w:val="2"/>
        </w:numPr>
        <w:spacing w:after="60"/>
      </w:pPr>
      <w:r>
        <w:rPr>
          <w:b/>
          <w:bCs/>
        </w:rPr>
        <w:t xml:space="preserve">Backup orchestration: </w:t>
      </w:r>
      <w:r>
        <w:t xml:space="preserve">backupService.ts is an explicit scaffold; PMM ships physical/logical backup scheduling and restore. Either complete it or remove the UI promise.</w:t>
      </w:r>
    </w:p>
    <w:p>
      <w:pPr>
        <w:pStyle w:val="Heading2"/>
      </w:pPr>
      <w:r>
        <w:t xml:space="preserve">P1 — Feature depth vs. 2026 leaders</w:t>
      </w:r>
    </w:p>
    <w:p>
      <w:pPr>
        <w:pStyle w:val="ListParagraph"/>
        <w:numPr>
          <w:ilvl w:val="0"/>
          <w:numId w:val="2"/>
        </w:numPr>
        <w:spacing w:after="60"/>
      </w:pPr>
      <w:r>
        <w:rPr>
          <w:b/>
          <w:bCs/>
        </w:rPr>
        <w:t xml:space="preserve">Continuous query advisor: </w:t>
      </w:r>
      <w:r>
        <w:t xml:space="preserve">pganalyze Query Advisor and Datadog now convert streams of EXPLAIN plans into specific, testable rewrites. FATHOM has the inputs (auto_explain ingest, explain parsers, copilot) but no continuous analysis pipeline, no rewrite recommendations queue, and no A/B benchmark harness to validate a rewrite before applying.</w:t>
      </w:r>
    </w:p>
    <w:p>
      <w:pPr>
        <w:pStyle w:val="ListParagraph"/>
        <w:numPr>
          <w:ilvl w:val="0"/>
          <w:numId w:val="2"/>
        </w:numPr>
        <w:spacing w:after="60"/>
      </w:pPr>
      <w:r>
        <w:rPr>
          <w:b/>
          <w:bCs/>
        </w:rPr>
        <w:t xml:space="preserve">Continuous schema tracking: </w:t>
      </w:r>
      <w:r>
        <w:t xml:space="preserve">schema diff exists on demand; Datadog tracks schema changes over time and correlates them with performance regressions. A scheduled schema-snapshot + drift timeline would close this.</w:t>
      </w:r>
    </w:p>
    <w:p>
      <w:pPr>
        <w:pStyle w:val="ListParagraph"/>
        <w:numPr>
          <w:ilvl w:val="0"/>
          <w:numId w:val="2"/>
        </w:numPr>
        <w:spacing w:after="60"/>
      </w:pPr>
      <w:r>
        <w:rPr>
          <w:b/>
          <w:bCs/>
        </w:rPr>
        <w:t xml:space="preserve">What-if index analysis: </w:t>
      </w:r>
      <w:r>
        <w:t xml:space="preserve">the index advisor reads one connection’s statistics; pganalyze evaluates hundreds of hypothetical index combinations (HypoPG-style) and is cluster-aware across replicas.</w:t>
      </w:r>
    </w:p>
    <w:p>
      <w:pPr>
        <w:pStyle w:val="ListParagraph"/>
        <w:numPr>
          <w:ilvl w:val="0"/>
          <w:numId w:val="2"/>
        </w:numPr>
        <w:spacing w:after="60"/>
      </w:pPr>
      <w:r>
        <w:rPr>
          <w:b/>
          <w:bCs/>
        </w:rPr>
        <w:t xml:space="preserve">Autonomous AI agent loop: </w:t>
      </w:r>
      <w:r>
        <w:t xml:space="preserve">the copilot answers when asked; Xata Agent watches continuously, opens findings with root cause and a proposed fix. FATHOM has anomaly detection + RCA + notifiers — wiring them into a closed loop (detect → diagnose → propose → notify with one-click apply) is mostly integration work.</w:t>
      </w:r>
    </w:p>
    <w:p>
      <w:pPr>
        <w:pStyle w:val="Heading2"/>
      </w:pPr>
      <w:r>
        <w:t xml:space="preserve">P2 — Productization</w:t>
      </w:r>
    </w:p>
    <w:p>
      <w:pPr>
        <w:pStyle w:val="ListParagraph"/>
        <w:numPr>
          <w:ilvl w:val="0"/>
          <w:numId w:val="2"/>
        </w:numPr>
        <w:spacing w:after="60"/>
      </w:pPr>
      <w:r>
        <w:t xml:space="preserve">Public documentation site (docs are in-repo markdown); per-engine 5-minute onboarding flows; pricing page freshness.</w:t>
      </w:r>
    </w:p>
    <w:p>
      <w:pPr>
        <w:pStyle w:val="ListParagraph"/>
        <w:numPr>
          <w:ilvl w:val="0"/>
          <w:numId w:val="2"/>
        </w:numPr>
        <w:spacing w:after="60"/>
      </w:pPr>
      <w:r>
        <w:t xml:space="preserve">SOC 2: checklist exists but no attestation path; competitors lead with compliance pages.</w:t>
      </w:r>
    </w:p>
    <w:p>
      <w:pPr>
        <w:pStyle w:val="ListParagraph"/>
        <w:numPr>
          <w:ilvl w:val="0"/>
          <w:numId w:val="2"/>
        </w:numPr>
        <w:spacing w:after="60"/>
      </w:pPr>
      <w:r>
        <w:t xml:space="preserve">UI consolidation: V1/V2/V3 component variants (IndexesTab, CapacityPlanningTab) still ship together.</w:t>
      </w:r>
    </w:p>
    <w:p>
      <w:pPr>
        <w:pStyle w:val="ListParagraph"/>
        <w:numPr>
          <w:ilvl w:val="0"/>
          <w:numId w:val="2"/>
        </w:numPr>
        <w:spacing w:after="60"/>
      </w:pPr>
      <w:r>
        <w:t xml:space="preserve">Highcharts commercial license is now required for commercial distribution (recharts was MIT). Budget or revisit.</w:t>
      </w:r>
    </w:p>
    <w:p>
      <w:pPr>
        <w:pStyle w:val="ListParagraph"/>
        <w:numPr>
          <w:ilvl w:val="0"/>
          <w:numId w:val="2"/>
        </w:numPr>
        <w:spacing w:after="60"/>
      </w:pPr>
      <w:r>
        <w:t xml:space="preserve">Hardening pattern: three production section crashes in one week traced to components trusting API response shapes (interval objects, server-stats shape). A systematic shape-guard sweep over fetch consumers is cheap insurance.</w:t>
      </w:r>
    </w:p>
    <w:p>
      <w:pPr>
        <w:pStyle w:val="Heading1"/>
      </w:pPr>
      <w:r>
        <w:t xml:space="preserve">5. Where FATHOM Is Ahead</w:t>
      </w:r>
    </w:p>
    <w:p>
      <w:pPr>
        <w:pStyle w:val="ListParagraph"/>
        <w:numPr>
          <w:ilvl w:val="0"/>
          <w:numId w:val="2"/>
        </w:numPr>
        <w:spacing w:after="60"/>
      </w:pPr>
      <w:r>
        <w:t xml:space="preserve">Engine breadth: 14 adapters (PG, MySQL, MongoDB, MSSQL, Oracle, Redis, Cassandra, Elasticsearch, BigQuery, Snowflake, DynamoDB…) vs PMM’s 3 and pganalyze’s 1.</w:t>
      </w:r>
    </w:p>
    <w:p>
      <w:pPr>
        <w:pStyle w:val="ListParagraph"/>
        <w:numPr>
          <w:ilvl w:val="0"/>
          <w:numId w:val="2"/>
        </w:numPr>
        <w:spacing w:after="60"/>
      </w:pPr>
      <w:r>
        <w:t xml:space="preserve">Enterprise identity stack in the box: SAML 2.0, SCIM provisioning, RBAC, IP allow-lists, HIPAA mode, AES-KMS envelope encryption, audit export — features competitors gate behind top tiers.</w:t>
      </w:r>
    </w:p>
    <w:p>
      <w:pPr>
        <w:pStyle w:val="ListParagraph"/>
        <w:numPr>
          <w:ilvl w:val="0"/>
          <w:numId w:val="2"/>
        </w:numPr>
        <w:spacing w:after="60"/>
      </w:pPr>
      <w:r>
        <w:t xml:space="preserve">Integrated extras competitors sell separately: status pages, synthetic monitoring, Terraform export, Kubernetes views, DBA task scheduler, ERD, schema versioning, SQL workbench with AI assist.</w:t>
      </w:r>
    </w:p>
    <w:p>
      <w:pPr>
        <w:pStyle w:val="ListParagraph"/>
        <w:numPr>
          <w:ilvl w:val="0"/>
          <w:numId w:val="2"/>
        </w:numPr>
        <w:spacing w:after="60"/>
      </w:pPr>
      <w:r>
        <w:t xml:space="preserve">Three first-party SDKs (JS/Python/Go) with framework middlewares and an OpenAPI contract.</w:t>
      </w:r>
    </w:p>
    <w:p>
      <w:pPr>
        <w:pStyle w:val="Heading1"/>
      </w:pPr>
      <w:r>
        <w:t xml:space="preserve">6. Recommended 90-Day Focus</w:t>
      </w:r>
    </w:p>
    <w:p>
      <w:pPr>
        <w:spacing w:after="120"/>
      </w:pPr>
      <w:r>
        <w:t xml:space="preserve">Weeks 1–2: restore always-on backend hosting and fix perceived performance (P0-1); finish the shape-guard sweep. Weeks 3–6: ship a packaged collector (single binary or container wrapping the existing SDK/ingest path) with auto-discovery for Postgres and MySQL (P0-2). Weeks 7–12: build the continuous query-advisor pipeline on top of auto_explain ingest — plan-pattern detection, rewrite suggestions via the existing copilot, and a benchmark harness — then wire anomaly → RCA → notifier into the autonomous agent loop (P1-1/P1-4). Backup orchestration completes when the collector exists to run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FATHOM Competitive Gap Analysis</w:t>
    </w:r>
    <w:r>
      <w:rPr>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2026-06-10T11:54:03.535Z</dcterms:created>
  <dcterms:modified xsi:type="dcterms:W3CDTF">2026-06-10T11:54:03.535Z</dcterms:modified>
</cp:coreProperties>
</file>

<file path=docProps/custom.xml><?xml version="1.0" encoding="utf-8"?>
<Properties xmlns="http://schemas.openxmlformats.org/officeDocument/2006/custom-properties" xmlns:vt="http://schemas.openxmlformats.org/officeDocument/2006/docPropsVTypes"/>
</file>