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B3F04" w14:textId="3677FADB" w:rsidR="00172973" w:rsidRPr="00C83932" w:rsidRDefault="00B950BB">
      <w:pPr>
        <w:rPr>
          <w:sz w:val="16"/>
          <w:szCs w:val="16"/>
        </w:rPr>
      </w:pPr>
      <w:r w:rsidRPr="00C83932">
        <w:rPr>
          <w:sz w:val="16"/>
          <w:szCs w:val="16"/>
        </w:rPr>
        <w:t>Literatu</w:t>
      </w:r>
      <w:r w:rsidR="00A8258B" w:rsidRPr="00C83932">
        <w:rPr>
          <w:sz w:val="16"/>
          <w:szCs w:val="16"/>
        </w:rPr>
        <w:t>r</w:t>
      </w:r>
      <w:r w:rsidRPr="00C83932">
        <w:rPr>
          <w:sz w:val="16"/>
          <w:szCs w:val="16"/>
        </w:rPr>
        <w:t>e review</w:t>
      </w:r>
    </w:p>
    <w:tbl>
      <w:tblPr>
        <w:tblStyle w:val="TableGrid"/>
        <w:tblW w:w="17027" w:type="dxa"/>
        <w:tblInd w:w="-731" w:type="dxa"/>
        <w:tblLayout w:type="fixed"/>
        <w:tblLook w:val="04A0" w:firstRow="1" w:lastRow="0" w:firstColumn="1" w:lastColumn="0" w:noHBand="0" w:noVBand="1"/>
      </w:tblPr>
      <w:tblGrid>
        <w:gridCol w:w="2002"/>
        <w:gridCol w:w="1985"/>
        <w:gridCol w:w="2976"/>
        <w:gridCol w:w="2410"/>
        <w:gridCol w:w="1730"/>
        <w:gridCol w:w="3328"/>
        <w:gridCol w:w="2596"/>
      </w:tblGrid>
      <w:tr w:rsidR="00C60CCD" w:rsidRPr="00C83932" w14:paraId="65E95E38" w14:textId="25557FDC" w:rsidTr="000D2C8D">
        <w:trPr>
          <w:trHeight w:val="336"/>
        </w:trPr>
        <w:tc>
          <w:tcPr>
            <w:tcW w:w="2002" w:type="dxa"/>
          </w:tcPr>
          <w:p w14:paraId="784E1330" w14:textId="6D98DC93" w:rsidR="00C60CCD" w:rsidRPr="00C83932" w:rsidRDefault="00C60CCD">
            <w:pPr>
              <w:rPr>
                <w:sz w:val="16"/>
                <w:szCs w:val="16"/>
              </w:rPr>
            </w:pPr>
            <w:r w:rsidRPr="00C83932">
              <w:rPr>
                <w:sz w:val="16"/>
                <w:szCs w:val="16"/>
              </w:rPr>
              <w:t>Paper</w:t>
            </w:r>
          </w:p>
        </w:tc>
        <w:tc>
          <w:tcPr>
            <w:tcW w:w="1985" w:type="dxa"/>
          </w:tcPr>
          <w:p w14:paraId="664307B4" w14:textId="210E337B" w:rsidR="00C60CCD" w:rsidRPr="00C83932" w:rsidRDefault="00C60CCD">
            <w:pPr>
              <w:rPr>
                <w:sz w:val="16"/>
                <w:szCs w:val="16"/>
              </w:rPr>
            </w:pPr>
            <w:r w:rsidRPr="00C83932">
              <w:rPr>
                <w:sz w:val="16"/>
                <w:szCs w:val="16"/>
              </w:rPr>
              <w:t>objective</w:t>
            </w:r>
          </w:p>
        </w:tc>
        <w:tc>
          <w:tcPr>
            <w:tcW w:w="2976" w:type="dxa"/>
          </w:tcPr>
          <w:p w14:paraId="348B7A8E" w14:textId="2A592900" w:rsidR="00C60CCD" w:rsidRPr="00C83932" w:rsidRDefault="00C60CCD">
            <w:pPr>
              <w:rPr>
                <w:sz w:val="16"/>
                <w:szCs w:val="16"/>
              </w:rPr>
            </w:pPr>
            <w:r w:rsidRPr="00C83932">
              <w:rPr>
                <w:sz w:val="16"/>
                <w:szCs w:val="16"/>
              </w:rPr>
              <w:t>Method</w:t>
            </w:r>
          </w:p>
        </w:tc>
        <w:tc>
          <w:tcPr>
            <w:tcW w:w="2410" w:type="dxa"/>
          </w:tcPr>
          <w:p w14:paraId="2EAE791E" w14:textId="25D5EDB9" w:rsidR="00C60CCD" w:rsidRPr="00C83932" w:rsidRDefault="00C60CCD">
            <w:pPr>
              <w:rPr>
                <w:sz w:val="16"/>
                <w:szCs w:val="16"/>
              </w:rPr>
            </w:pPr>
            <w:r w:rsidRPr="00C83932">
              <w:rPr>
                <w:sz w:val="16"/>
                <w:szCs w:val="16"/>
              </w:rPr>
              <w:t>Results</w:t>
            </w:r>
          </w:p>
        </w:tc>
        <w:tc>
          <w:tcPr>
            <w:tcW w:w="1730" w:type="dxa"/>
          </w:tcPr>
          <w:p w14:paraId="4B341B89" w14:textId="1BFC073D" w:rsidR="00C60CCD" w:rsidRPr="00C83932" w:rsidRDefault="00C60CCD">
            <w:pPr>
              <w:rPr>
                <w:sz w:val="16"/>
                <w:szCs w:val="16"/>
              </w:rPr>
            </w:pPr>
            <w:r w:rsidRPr="00C83932">
              <w:rPr>
                <w:sz w:val="16"/>
                <w:szCs w:val="16"/>
              </w:rPr>
              <w:t>Advantage</w:t>
            </w:r>
          </w:p>
        </w:tc>
        <w:tc>
          <w:tcPr>
            <w:tcW w:w="3328" w:type="dxa"/>
          </w:tcPr>
          <w:p w14:paraId="683E475C" w14:textId="0762886E" w:rsidR="00C60CCD" w:rsidRPr="00C83932" w:rsidRDefault="00C60CCD">
            <w:pPr>
              <w:rPr>
                <w:sz w:val="16"/>
                <w:szCs w:val="16"/>
              </w:rPr>
            </w:pPr>
            <w:r w:rsidRPr="00C83932">
              <w:rPr>
                <w:sz w:val="16"/>
                <w:szCs w:val="16"/>
              </w:rPr>
              <w:t>Disadvantage</w:t>
            </w:r>
          </w:p>
        </w:tc>
        <w:tc>
          <w:tcPr>
            <w:tcW w:w="2596" w:type="dxa"/>
          </w:tcPr>
          <w:p w14:paraId="5C16EA92" w14:textId="7F1E04F2" w:rsidR="00C60CCD" w:rsidRPr="00C83932" w:rsidRDefault="004957AC">
            <w:pPr>
              <w:rPr>
                <w:sz w:val="16"/>
                <w:szCs w:val="16"/>
              </w:rPr>
            </w:pPr>
            <w:r w:rsidRPr="00C83932">
              <w:rPr>
                <w:sz w:val="16"/>
                <w:szCs w:val="16"/>
              </w:rPr>
              <w:t>Different from our study</w:t>
            </w:r>
          </w:p>
        </w:tc>
      </w:tr>
      <w:tr w:rsidR="00C60CCD" w:rsidRPr="00C83932" w14:paraId="49AE5043" w14:textId="73B9443B" w:rsidTr="000D2C8D">
        <w:trPr>
          <w:trHeight w:val="336"/>
        </w:trPr>
        <w:tc>
          <w:tcPr>
            <w:tcW w:w="2002" w:type="dxa"/>
          </w:tcPr>
          <w:p w14:paraId="6994EC62" w14:textId="77777777" w:rsidR="00C83932" w:rsidRPr="00C83932" w:rsidRDefault="00C83932" w:rsidP="00C8393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</w:pPr>
            <w:r w:rsidRPr="00C8393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Detection of Anomalous Insiders in Collaborative</w:t>
            </w:r>
          </w:p>
          <w:p w14:paraId="44D072DE" w14:textId="113D4991" w:rsidR="00C60CCD" w:rsidRPr="00C83932" w:rsidRDefault="00C83932" w:rsidP="00C83932">
            <w:pPr>
              <w:rPr>
                <w:sz w:val="20"/>
                <w:szCs w:val="20"/>
              </w:rPr>
            </w:pPr>
            <w:r w:rsidRPr="00C83932">
              <w:rPr>
                <w:rFonts w:ascii="Helvetica-Bold" w:hAnsi="Helvetica-Bold" w:cs="Helvetica-Bold"/>
                <w:b/>
                <w:bCs/>
                <w:sz w:val="20"/>
                <w:szCs w:val="20"/>
                <w:lang w:val="en-US"/>
              </w:rPr>
              <w:t>Environments via Relational Analysis of Access Logs</w:t>
            </w:r>
          </w:p>
        </w:tc>
        <w:tc>
          <w:tcPr>
            <w:tcW w:w="1985" w:type="dxa"/>
          </w:tcPr>
          <w:p w14:paraId="0BD39767" w14:textId="5A547AF7" w:rsidR="00C60CCD" w:rsidRPr="00C83932" w:rsidRDefault="00252D2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To detect</w:t>
            </w:r>
            <w:r w:rsidR="000C71E6">
              <w:rPr>
                <w:sz w:val="16"/>
                <w:szCs w:val="16"/>
                <w:lang w:val="en-US"/>
              </w:rPr>
              <w:t xml:space="preserve"> insider threats based on information recorded</w:t>
            </w:r>
            <w:r w:rsidR="00CD6CB4">
              <w:rPr>
                <w:sz w:val="16"/>
                <w:szCs w:val="16"/>
                <w:lang w:val="en-US"/>
              </w:rPr>
              <w:t xml:space="preserve"> in the access logs of collaborative environments</w:t>
            </w:r>
          </w:p>
        </w:tc>
        <w:tc>
          <w:tcPr>
            <w:tcW w:w="2976" w:type="dxa"/>
          </w:tcPr>
          <w:p w14:paraId="4F63FB58" w14:textId="7363A12C" w:rsidR="00C60CCD" w:rsidRPr="00C83932" w:rsidRDefault="00474B03" w:rsidP="00A825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Community based ano</w:t>
            </w:r>
            <w:r w:rsidR="00A3105C">
              <w:rPr>
                <w:sz w:val="16"/>
                <w:szCs w:val="16"/>
                <w:lang w:val="en-US"/>
              </w:rPr>
              <w:t>maly detection system</w:t>
            </w:r>
            <w:r w:rsidR="00A12326">
              <w:rPr>
                <w:sz w:val="16"/>
                <w:szCs w:val="16"/>
                <w:lang w:val="en-US"/>
              </w:rPr>
              <w:t>- users tend to form community structures, us users who</w:t>
            </w:r>
            <w:r w:rsidR="00F25372">
              <w:rPr>
                <w:sz w:val="16"/>
                <w:szCs w:val="16"/>
                <w:lang w:val="en-US"/>
              </w:rPr>
              <w:t>m their</w:t>
            </w:r>
            <w:r w:rsidR="00A12326">
              <w:rPr>
                <w:sz w:val="16"/>
                <w:szCs w:val="16"/>
                <w:lang w:val="en-US"/>
              </w:rPr>
              <w:t xml:space="preserve"> behav</w:t>
            </w:r>
            <w:r w:rsidR="00F25372">
              <w:rPr>
                <w:sz w:val="16"/>
                <w:szCs w:val="16"/>
                <w:lang w:val="en-US"/>
              </w:rPr>
              <w:t>iour are not inline with th</w:t>
            </w:r>
            <w:r w:rsidR="00EF7EE0">
              <w:rPr>
                <w:sz w:val="16"/>
                <w:szCs w:val="16"/>
                <w:lang w:val="en-US"/>
              </w:rPr>
              <w:t>at of the community members, are indication of anomalous behaviour</w:t>
            </w:r>
            <w:r w:rsidR="00A81BBB">
              <w:rPr>
                <w:sz w:val="16"/>
                <w:szCs w:val="16"/>
                <w:lang w:val="en-US"/>
              </w:rPr>
              <w:t xml:space="preserve">. The model has relational pattern extraction and </w:t>
            </w:r>
            <w:r w:rsidR="00A064F4">
              <w:rPr>
                <w:sz w:val="16"/>
                <w:szCs w:val="16"/>
                <w:lang w:val="en-US"/>
              </w:rPr>
              <w:t>anomaly detection components</w:t>
            </w:r>
          </w:p>
        </w:tc>
        <w:tc>
          <w:tcPr>
            <w:tcW w:w="2410" w:type="dxa"/>
          </w:tcPr>
          <w:p w14:paraId="3CB36D0E" w14:textId="68A6B301" w:rsidR="00C60CCD" w:rsidRPr="00C83932" w:rsidRDefault="008C4C47" w:rsidP="00A825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CADS </w:t>
            </w:r>
            <w:r w:rsidR="00A24B9C">
              <w:rPr>
                <w:sz w:val="16"/>
                <w:szCs w:val="16"/>
                <w:lang w:val="en-US"/>
              </w:rPr>
              <w:t xml:space="preserve">was able to </w:t>
            </w:r>
            <w:r w:rsidR="00983DFC">
              <w:rPr>
                <w:sz w:val="16"/>
                <w:szCs w:val="16"/>
                <w:lang w:val="en-US"/>
              </w:rPr>
              <w:t>differentiate</w:t>
            </w:r>
            <w:r w:rsidR="00A24B9C">
              <w:rPr>
                <w:sz w:val="16"/>
                <w:szCs w:val="16"/>
                <w:lang w:val="en-US"/>
              </w:rPr>
              <w:t xml:space="preserve"> anomalous users </w:t>
            </w:r>
            <w:r w:rsidR="003B09C3">
              <w:rPr>
                <w:sz w:val="16"/>
                <w:szCs w:val="16"/>
                <w:lang w:val="en-US"/>
              </w:rPr>
              <w:t>in a real data logs</w:t>
            </w:r>
          </w:p>
        </w:tc>
        <w:tc>
          <w:tcPr>
            <w:tcW w:w="1730" w:type="dxa"/>
          </w:tcPr>
          <w:p w14:paraId="13D03EDB" w14:textId="67A94DFB" w:rsidR="00C60CCD" w:rsidRPr="00C83932" w:rsidRDefault="00C60CCD" w:rsidP="00BD012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328" w:type="dxa"/>
          </w:tcPr>
          <w:p w14:paraId="34B40D19" w14:textId="64693323" w:rsidR="00C60CCD" w:rsidRPr="00C83932" w:rsidRDefault="00C60CC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96" w:type="dxa"/>
          </w:tcPr>
          <w:p w14:paraId="257B82B9" w14:textId="78BF77F0" w:rsidR="00C60CCD" w:rsidRPr="00C83932" w:rsidRDefault="00C60CCD">
            <w:pPr>
              <w:rPr>
                <w:rFonts w:ascii="Arial" w:hAnsi="Arial" w:cs="Arial"/>
                <w:color w:val="202122"/>
                <w:sz w:val="16"/>
                <w:szCs w:val="16"/>
                <w:shd w:val="clear" w:color="auto" w:fill="FFFFFF"/>
                <w:lang w:val="en-US"/>
              </w:rPr>
            </w:pPr>
          </w:p>
        </w:tc>
      </w:tr>
      <w:tr w:rsidR="00C60CCD" w:rsidRPr="00C83932" w14:paraId="64734B30" w14:textId="498E05A7" w:rsidTr="000D2C8D">
        <w:trPr>
          <w:trHeight w:val="336"/>
        </w:trPr>
        <w:tc>
          <w:tcPr>
            <w:tcW w:w="2002" w:type="dxa"/>
          </w:tcPr>
          <w:p w14:paraId="3C6767BF" w14:textId="77777777" w:rsidR="00A87279" w:rsidRDefault="00A87279" w:rsidP="00A8727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  <w:lang w:val="en-US"/>
              </w:rPr>
              <w:t>Mining Deviations from Patient Care Pathways via Electronic Medical</w:t>
            </w:r>
          </w:p>
          <w:p w14:paraId="3F49E664" w14:textId="6603CFD8" w:rsidR="00C60CCD" w:rsidRPr="00C83932" w:rsidRDefault="00A87279" w:rsidP="00A87279">
            <w:pPr>
              <w:rPr>
                <w:sz w:val="16"/>
                <w:szCs w:val="16"/>
                <w:lang w:val="en-US"/>
              </w:rPr>
            </w:pPr>
            <w:r>
              <w:rPr>
                <w:rFonts w:ascii="Helvetica-Bold" w:hAnsi="Helvetica-Bold" w:cs="Helvetica-Bold"/>
                <w:b/>
                <w:bCs/>
                <w:sz w:val="24"/>
                <w:szCs w:val="24"/>
                <w:lang w:val="en-US"/>
              </w:rPr>
              <w:t>Record System Audits</w:t>
            </w:r>
          </w:p>
        </w:tc>
        <w:tc>
          <w:tcPr>
            <w:tcW w:w="1985" w:type="dxa"/>
          </w:tcPr>
          <w:p w14:paraId="1118722F" w14:textId="34C29304" w:rsidR="00C60CCD" w:rsidRPr="00C83932" w:rsidRDefault="00C60CCD" w:rsidP="00A5150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</w:tcPr>
          <w:p w14:paraId="35310326" w14:textId="77777777" w:rsidR="009B6A8B" w:rsidRDefault="009B6A8B" w:rsidP="009B6A8B">
            <w:pPr>
              <w:autoSpaceDE w:val="0"/>
              <w:autoSpaceDN w:val="0"/>
              <w:adjustRightInd w:val="0"/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</w:pPr>
            <w:r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  <w:t>we hypothesize that care pathways can be represented as the progression of a</w:t>
            </w:r>
          </w:p>
          <w:p w14:paraId="34529695" w14:textId="77777777" w:rsidR="009B6A8B" w:rsidRDefault="009B6A8B" w:rsidP="009B6A8B">
            <w:pPr>
              <w:autoSpaceDE w:val="0"/>
              <w:autoSpaceDN w:val="0"/>
              <w:adjustRightInd w:val="0"/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</w:pPr>
            <w:r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  <w:t>patient through a system and introduce a strategy to model the patient’s flow as a sequence of accesses defined</w:t>
            </w:r>
          </w:p>
          <w:p w14:paraId="3D27DB0A" w14:textId="77777777" w:rsidR="00CE5729" w:rsidRDefault="009B6A8B" w:rsidP="00CE5729">
            <w:pPr>
              <w:autoSpaceDE w:val="0"/>
              <w:autoSpaceDN w:val="0"/>
              <w:adjustRightInd w:val="0"/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</w:pPr>
            <w:r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  <w:t>over a graph.</w:t>
            </w:r>
            <w:r w:rsidR="00CE5729"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  <w:t xml:space="preserve"> </w:t>
            </w:r>
            <w:r w:rsidR="00CE5729"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  <w:t>Elements in the sequence correspond to features associated with the access transaction</w:t>
            </w:r>
          </w:p>
          <w:p w14:paraId="66ACE589" w14:textId="77777777" w:rsidR="00942A43" w:rsidRDefault="00CE5729" w:rsidP="00942A43">
            <w:pPr>
              <w:autoSpaceDE w:val="0"/>
              <w:autoSpaceDN w:val="0"/>
              <w:adjustRightInd w:val="0"/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</w:pPr>
            <w:r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  <w:t>(e.g., reason for access).</w:t>
            </w:r>
            <w:r w:rsidR="00942A43"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  <w:t xml:space="preserve"> </w:t>
            </w:r>
            <w:r w:rsidR="00942A43"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  <w:t>we model patterns of patient record usage, which may</w:t>
            </w:r>
          </w:p>
          <w:p w14:paraId="71E11F1B" w14:textId="11EEAD83" w:rsidR="00C60CCD" w:rsidRPr="00C83932" w:rsidRDefault="00942A43" w:rsidP="00942A43">
            <w:pPr>
              <w:rPr>
                <w:sz w:val="16"/>
                <w:szCs w:val="16"/>
                <w:lang w:val="en-US"/>
              </w:rPr>
            </w:pPr>
            <w:r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  <w:t>indicate deviations from care workflows.</w:t>
            </w:r>
          </w:p>
        </w:tc>
        <w:tc>
          <w:tcPr>
            <w:tcW w:w="2410" w:type="dxa"/>
          </w:tcPr>
          <w:p w14:paraId="61CF2459" w14:textId="21161F30" w:rsidR="00B16A77" w:rsidRDefault="00B16A77" w:rsidP="00B16A77">
            <w:pPr>
              <w:autoSpaceDE w:val="0"/>
              <w:autoSpaceDN w:val="0"/>
              <w:adjustRightInd w:val="0"/>
              <w:rPr>
                <w:rFonts w:ascii="NewCenturySchlbk-Roman" w:hAnsi="NewCenturySchlbk-Roman" w:cs="NewCenturySchlbk-Roman"/>
                <w:sz w:val="20"/>
                <w:szCs w:val="20"/>
                <w:lang w:val="en-US"/>
              </w:rPr>
            </w:pPr>
            <w:r>
              <w:rPr>
                <w:rFonts w:ascii="NewCenturySchlbk-Roman" w:hAnsi="NewCenturySchlbk-Roman" w:cs="NewCenturySchlbk-Roman"/>
                <w:sz w:val="20"/>
                <w:szCs w:val="20"/>
                <w:lang w:val="en-US"/>
              </w:rPr>
              <w:t>building a graph-based model that represe</w:t>
            </w:r>
            <w:r w:rsidR="007E06E2">
              <w:rPr>
                <w:rFonts w:ascii="NewCenturySchlbk-Roman" w:hAnsi="NewCenturySchlbk-Roman" w:cs="NewCenturySchlbk-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NewCenturySchlbk-Roman" w:hAnsi="NewCenturySchlbk-Roman" w:cs="NewCenturySchlbk-Roman"/>
                <w:sz w:val="20"/>
                <w:szCs w:val="20"/>
                <w:lang w:val="en-US"/>
              </w:rPr>
              <w:t>nts</w:t>
            </w:r>
          </w:p>
          <w:p w14:paraId="62B25148" w14:textId="77777777" w:rsidR="00B16A77" w:rsidRDefault="00B16A77" w:rsidP="00B16A77">
            <w:pPr>
              <w:autoSpaceDE w:val="0"/>
              <w:autoSpaceDN w:val="0"/>
              <w:adjustRightInd w:val="0"/>
              <w:rPr>
                <w:rFonts w:ascii="NewCenturySchlbk-Roman" w:hAnsi="NewCenturySchlbk-Roman" w:cs="NewCenturySchlbk-Roman"/>
                <w:sz w:val="20"/>
                <w:szCs w:val="20"/>
                <w:lang w:val="en-US"/>
              </w:rPr>
            </w:pPr>
            <w:r>
              <w:rPr>
                <w:rFonts w:ascii="NewCenturySchlbk-Roman" w:hAnsi="NewCenturySchlbk-Roman" w:cs="NewCenturySchlbk-Roman"/>
                <w:sz w:val="20"/>
                <w:szCs w:val="20"/>
                <w:lang w:val="en-US"/>
              </w:rPr>
              <w:t>the series of EMR accesses resulting from intended activities related to patient</w:t>
            </w:r>
          </w:p>
          <w:p w14:paraId="458A646E" w14:textId="26451E5E" w:rsidR="001E2BC3" w:rsidRDefault="00B16A77" w:rsidP="00B16A77">
            <w:pPr>
              <w:autoSpaceDE w:val="0"/>
              <w:autoSpaceDN w:val="0"/>
              <w:adjustRightInd w:val="0"/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</w:pPr>
            <w:r>
              <w:rPr>
                <w:rFonts w:ascii="NewCenturySchlbk-Roman" w:hAnsi="NewCenturySchlbk-Roman" w:cs="NewCenturySchlbk-Roman"/>
                <w:sz w:val="20"/>
                <w:szCs w:val="20"/>
                <w:lang w:val="en-US"/>
              </w:rPr>
              <w:t>care</w:t>
            </w:r>
            <w:r>
              <w:rPr>
                <w:rFonts w:ascii="NewCenturySchlbk-Roman" w:hAnsi="NewCenturySchlbk-Roman" w:cs="NewCenturySchlbk-Roman"/>
                <w:sz w:val="20"/>
                <w:szCs w:val="20"/>
                <w:lang w:val="en-US"/>
              </w:rPr>
              <w:t xml:space="preserve">. </w:t>
            </w:r>
            <w:r w:rsidR="001E2BC3"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  <w:t>this framework finds a small portion of accesses</w:t>
            </w:r>
          </w:p>
          <w:p w14:paraId="45E032EC" w14:textId="77777777" w:rsidR="00243029" w:rsidRDefault="001E2BC3" w:rsidP="00243029">
            <w:pPr>
              <w:autoSpaceDE w:val="0"/>
              <w:autoSpaceDN w:val="0"/>
              <w:adjustRightInd w:val="0"/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</w:pPr>
            <w:r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  <w:t>constitute outliers from such flows</w:t>
            </w:r>
            <w:r w:rsidR="00243029"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  <w:t xml:space="preserve">. </w:t>
            </w:r>
            <w:r w:rsidR="00243029"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  <w:t>also observe that the violation patterns deviate for different types of</w:t>
            </w:r>
          </w:p>
          <w:p w14:paraId="450E5762" w14:textId="77777777" w:rsidR="00243029" w:rsidRDefault="00243029" w:rsidP="00243029">
            <w:pPr>
              <w:autoSpaceDE w:val="0"/>
              <w:autoSpaceDN w:val="0"/>
              <w:adjustRightInd w:val="0"/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</w:pPr>
            <w:r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  <w:t>medical services. Analysis of our results suggests greater deviation from normal access patterns by nonclinical</w:t>
            </w:r>
          </w:p>
          <w:p w14:paraId="7019DA08" w14:textId="77777777" w:rsidR="008F3E1A" w:rsidRDefault="00243029" w:rsidP="008F3E1A">
            <w:pPr>
              <w:autoSpaceDE w:val="0"/>
              <w:autoSpaceDN w:val="0"/>
              <w:adjustRightInd w:val="0"/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</w:pPr>
            <w:r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  <w:t>users.</w:t>
            </w:r>
            <w:r w:rsidR="008F3E1A"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  <w:t xml:space="preserve"> </w:t>
            </w:r>
            <w:r w:rsidR="008F3E1A"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  <w:t>the area under the receiver operating characteristic (ROC) curve for the Pediatrics service was found</w:t>
            </w:r>
          </w:p>
          <w:p w14:paraId="2ACE4D6F" w14:textId="77777777" w:rsidR="008F3E1A" w:rsidRDefault="008F3E1A" w:rsidP="008F3E1A">
            <w:pPr>
              <w:autoSpaceDE w:val="0"/>
              <w:autoSpaceDN w:val="0"/>
              <w:adjustRightInd w:val="0"/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</w:pPr>
            <w:r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  <w:t>to be 0.9166. The results suggest that our approach is competitive with, and often better than, the existing</w:t>
            </w:r>
          </w:p>
          <w:p w14:paraId="477D5DC9" w14:textId="77777777" w:rsidR="008F3E1A" w:rsidRDefault="008F3E1A" w:rsidP="008F3E1A">
            <w:pPr>
              <w:autoSpaceDE w:val="0"/>
              <w:autoSpaceDN w:val="0"/>
              <w:adjustRightInd w:val="0"/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</w:pPr>
            <w:r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  <w:t>state-of-the-art in its outlier detection performance. At the same time, our method is more efficient, by</w:t>
            </w:r>
          </w:p>
          <w:p w14:paraId="18C1AD58" w14:textId="23D69EFA" w:rsidR="00C60CCD" w:rsidRPr="00C83932" w:rsidRDefault="008F3E1A" w:rsidP="008F3E1A">
            <w:pPr>
              <w:rPr>
                <w:sz w:val="16"/>
                <w:szCs w:val="16"/>
                <w:lang w:val="en-US"/>
              </w:rPr>
            </w:pPr>
            <w:r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  <w:t>orders of magnitude, than previous approaches, allowing for detection of thousands of accesses in seconds.</w:t>
            </w:r>
            <w:r w:rsidR="00B16A77">
              <w:rPr>
                <w:rFonts w:ascii="NewCenturySchlbk-Roman" w:hAnsi="NewCenturySchlbk-Roman" w:cs="NewCenturySchlbk-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730" w:type="dxa"/>
          </w:tcPr>
          <w:p w14:paraId="4B1D841F" w14:textId="4A6B7DB0" w:rsidR="00C60CCD" w:rsidRPr="00C83932" w:rsidRDefault="00C60CC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328" w:type="dxa"/>
          </w:tcPr>
          <w:p w14:paraId="6834A29D" w14:textId="77777777" w:rsidR="00C60CCD" w:rsidRPr="00C83932" w:rsidRDefault="00C60CC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96" w:type="dxa"/>
          </w:tcPr>
          <w:p w14:paraId="687BC6DC" w14:textId="42F1871C" w:rsidR="00C60CCD" w:rsidRPr="00C83932" w:rsidRDefault="00C60CCD" w:rsidP="000A79FB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color w:val="202122"/>
                <w:sz w:val="16"/>
                <w:szCs w:val="16"/>
                <w:lang w:val="en-US"/>
              </w:rPr>
            </w:pPr>
          </w:p>
        </w:tc>
      </w:tr>
      <w:tr w:rsidR="00C60CCD" w:rsidRPr="00C83932" w14:paraId="5F171D54" w14:textId="15608D15" w:rsidTr="000D2C8D">
        <w:trPr>
          <w:trHeight w:val="323"/>
        </w:trPr>
        <w:tc>
          <w:tcPr>
            <w:tcW w:w="2002" w:type="dxa"/>
          </w:tcPr>
          <w:p w14:paraId="17FBF3B0" w14:textId="77777777" w:rsidR="00554FB8" w:rsidRPr="00554FB8" w:rsidRDefault="00554FB8" w:rsidP="00554FB8">
            <w:pPr>
              <w:autoSpaceDE w:val="0"/>
              <w:autoSpaceDN w:val="0"/>
              <w:adjustRightInd w:val="0"/>
              <w:rPr>
                <w:rFonts w:ascii="Times New Roman,Bold" w:hAnsi="Times New Roman,Bold" w:cs="Times New Roman,Bold"/>
                <w:b/>
                <w:bCs/>
                <w:sz w:val="24"/>
                <w:szCs w:val="24"/>
                <w:lang w:val="en-US"/>
              </w:rPr>
            </w:pPr>
            <w:r w:rsidRPr="00554FB8">
              <w:rPr>
                <w:rFonts w:ascii="Times New Roman,Bold" w:hAnsi="Times New Roman,Bold" w:cs="Times New Roman,Bold"/>
                <w:b/>
                <w:bCs/>
                <w:sz w:val="24"/>
                <w:szCs w:val="24"/>
                <w:lang w:val="en-US"/>
              </w:rPr>
              <w:t xml:space="preserve">A Hybrid Density-Based Outlier Detection Model for </w:t>
            </w:r>
            <w:r w:rsidRPr="00554FB8">
              <w:rPr>
                <w:rFonts w:ascii="Times New Roman,Bold" w:hAnsi="Times New Roman,Bold" w:cs="Times New Roman,Bold"/>
                <w:b/>
                <w:bCs/>
                <w:sz w:val="24"/>
                <w:szCs w:val="24"/>
                <w:lang w:val="en-US"/>
              </w:rPr>
              <w:lastRenderedPageBreak/>
              <w:t>Privacy in Electronic Patient</w:t>
            </w:r>
          </w:p>
          <w:p w14:paraId="36185E5C" w14:textId="37C062F5" w:rsidR="00C60CCD" w:rsidRPr="00C83932" w:rsidRDefault="00554FB8" w:rsidP="00554FB8">
            <w:pPr>
              <w:rPr>
                <w:sz w:val="16"/>
                <w:szCs w:val="16"/>
                <w:lang w:val="en-US"/>
              </w:rPr>
            </w:pPr>
            <w:r w:rsidRPr="00554FB8">
              <w:rPr>
                <w:rFonts w:ascii="Times New Roman,Bold" w:hAnsi="Times New Roman,Bold" w:cs="Times New Roman,Bold"/>
                <w:b/>
                <w:bCs/>
                <w:sz w:val="24"/>
                <w:szCs w:val="24"/>
                <w:lang w:val="en-US"/>
              </w:rPr>
              <w:t>Record Systems</w:t>
            </w:r>
          </w:p>
        </w:tc>
        <w:tc>
          <w:tcPr>
            <w:tcW w:w="1985" w:type="dxa"/>
          </w:tcPr>
          <w:p w14:paraId="5FE8B4CE" w14:textId="27200C9E" w:rsidR="00C60CCD" w:rsidRPr="00C83932" w:rsidRDefault="00C60CCD" w:rsidP="00A0212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</w:tcPr>
          <w:p w14:paraId="1390D1C8" w14:textId="77777777" w:rsidR="000F0587" w:rsidRDefault="000F0587" w:rsidP="000F0587">
            <w:pPr>
              <w:autoSpaceDE w:val="0"/>
              <w:autoSpaceDN w:val="0"/>
              <w:adjustRightInd w:val="0"/>
              <w:rPr>
                <w:rFonts w:ascii="Times New Roman,Bold" w:hAnsi="Times New Roman,Bold" w:cs="Times New Roman,Bold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Times New Roman,Bold" w:hAnsi="Times New Roman,Bold" w:cs="Times New Roman,Bold"/>
                <w:b/>
                <w:bCs/>
                <w:sz w:val="18"/>
                <w:szCs w:val="18"/>
                <w:lang w:val="en-US"/>
              </w:rPr>
              <w:t>This paper presents a system that employs a Human-in-the-</w:t>
            </w:r>
          </w:p>
          <w:p w14:paraId="35CCAAF7" w14:textId="77777777" w:rsidR="000F0587" w:rsidRDefault="000F0587" w:rsidP="000F0587">
            <w:pPr>
              <w:autoSpaceDE w:val="0"/>
              <w:autoSpaceDN w:val="0"/>
              <w:adjustRightInd w:val="0"/>
              <w:rPr>
                <w:rFonts w:ascii="Times New Roman,Bold" w:hAnsi="Times New Roman,Bold" w:cs="Times New Roman,Bold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Times New Roman,Bold" w:hAnsi="Times New Roman,Bold" w:cs="Times New Roman,Bold"/>
                <w:b/>
                <w:bCs/>
                <w:sz w:val="18"/>
                <w:szCs w:val="18"/>
                <w:lang w:val="en-US"/>
              </w:rPr>
              <w:t>Loop Machine Learning (HILML) algorithm, in addition to a</w:t>
            </w:r>
          </w:p>
          <w:p w14:paraId="24C159D7" w14:textId="77777777" w:rsidR="000D2C8D" w:rsidRDefault="000F0587" w:rsidP="000D2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,Bold" w:hAnsi="Times New Roman,Bold" w:cs="Times New Roman,Bold"/>
                <w:b/>
                <w:bCs/>
                <w:sz w:val="18"/>
                <w:szCs w:val="18"/>
                <w:lang w:val="en-US"/>
              </w:rPr>
              <w:lastRenderedPageBreak/>
              <w:t>density-based local outlier detection model.</w:t>
            </w:r>
            <w:r w:rsidR="000D2C8D">
              <w:rPr>
                <w:rFonts w:ascii="Times New Roman,Bold" w:hAnsi="Times New Roman,Bold" w:cs="Times New Roman,Bold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D2C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LOF anomaly scores need to calculate the</w:t>
            </w:r>
          </w:p>
          <w:p w14:paraId="28A065BF" w14:textId="77777777" w:rsidR="000D2C8D" w:rsidRDefault="000D2C8D" w:rsidP="000D2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ensemble average. In order to achieve this, a weighted</w:t>
            </w:r>
          </w:p>
          <w:p w14:paraId="2C6C25A8" w14:textId="77777777" w:rsidR="000D2C8D" w:rsidRDefault="000D2C8D" w:rsidP="000D2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average is applied to each audit log. An additional column is</w:t>
            </w:r>
          </w:p>
          <w:p w14:paraId="4BED6CA1" w14:textId="77777777" w:rsidR="000D2C8D" w:rsidRDefault="000D2C8D" w:rsidP="000D2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added next to each of the IDs with that IDs associated</w:t>
            </w:r>
          </w:p>
          <w:p w14:paraId="6E6D4B14" w14:textId="77777777" w:rsidR="000D2C8D" w:rsidRDefault="000D2C8D" w:rsidP="000D2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anomaly score. For every audit log, a weighted average of</w:t>
            </w:r>
          </w:p>
          <w:p w14:paraId="71E6425D" w14:textId="77777777" w:rsidR="000D2C8D" w:rsidRDefault="000D2C8D" w:rsidP="000D2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four anomaly ID scores is calculated. The calculated</w:t>
            </w:r>
          </w:p>
          <w:p w14:paraId="298CCC9E" w14:textId="77777777" w:rsidR="000D2C8D" w:rsidRDefault="000D2C8D" w:rsidP="000D2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ensemble average anomaly score can then be plotted against</w:t>
            </w:r>
          </w:p>
          <w:p w14:paraId="7D6D2450" w14:textId="1992935B" w:rsidR="00C60CCD" w:rsidRPr="00C83932" w:rsidRDefault="000D2C8D" w:rsidP="000D2C8D">
            <w:pPr>
              <w:rPr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Date &amp; Time stamp and visualised to the analyst.</w:t>
            </w:r>
          </w:p>
        </w:tc>
        <w:tc>
          <w:tcPr>
            <w:tcW w:w="2410" w:type="dxa"/>
          </w:tcPr>
          <w:p w14:paraId="385034CD" w14:textId="77777777" w:rsidR="00FD1052" w:rsidRDefault="00FD1052" w:rsidP="00FD1052">
            <w:pPr>
              <w:autoSpaceDE w:val="0"/>
              <w:autoSpaceDN w:val="0"/>
              <w:adjustRightInd w:val="0"/>
              <w:rPr>
                <w:rFonts w:ascii="Times New Roman,Bold" w:hAnsi="Times New Roman,Bold" w:cs="Times New Roman,Bold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Times New Roman,Bold" w:hAnsi="Times New Roman,Bold" w:cs="Times New Roman,Bold"/>
                <w:b/>
                <w:bCs/>
                <w:sz w:val="18"/>
                <w:szCs w:val="18"/>
                <w:lang w:val="en-US"/>
              </w:rPr>
              <w:lastRenderedPageBreak/>
              <w:t>The system is able</w:t>
            </w:r>
          </w:p>
          <w:p w14:paraId="78067975" w14:textId="77777777" w:rsidR="00FD1052" w:rsidRDefault="00FD1052" w:rsidP="00FD1052">
            <w:pPr>
              <w:autoSpaceDE w:val="0"/>
              <w:autoSpaceDN w:val="0"/>
              <w:adjustRightInd w:val="0"/>
              <w:rPr>
                <w:rFonts w:ascii="Times New Roman,Bold" w:hAnsi="Times New Roman,Bold" w:cs="Times New Roman,Bold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Times New Roman,Bold" w:hAnsi="Times New Roman,Bold" w:cs="Times New Roman,Bold"/>
                <w:b/>
                <w:bCs/>
                <w:sz w:val="18"/>
                <w:szCs w:val="18"/>
                <w:lang w:val="en-US"/>
              </w:rPr>
              <w:t>to detect 145 anomalous behaviours in an unlabelled dataset of</w:t>
            </w:r>
          </w:p>
          <w:p w14:paraId="2B6E674E" w14:textId="0ADAE4B5" w:rsidR="00FD1052" w:rsidRDefault="00FD1052" w:rsidP="00FD1052">
            <w:pPr>
              <w:autoSpaceDE w:val="0"/>
              <w:autoSpaceDN w:val="0"/>
              <w:adjustRightInd w:val="0"/>
              <w:rPr>
                <w:rFonts w:ascii="Times New Roman,Bold" w:hAnsi="Times New Roman,Bold" w:cs="Times New Roman,Bold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Times New Roman,Bold" w:hAnsi="Times New Roman,Bold" w:cs="Times New Roman,Bold"/>
                <w:b/>
                <w:bCs/>
                <w:sz w:val="18"/>
                <w:szCs w:val="18"/>
                <w:lang w:val="en-US"/>
              </w:rPr>
              <w:lastRenderedPageBreak/>
              <w:t xml:space="preserve">1,007,727 audit logs. This equates to 0.014% of the </w:t>
            </w:r>
            <w:r w:rsidR="00DB4648">
              <w:rPr>
                <w:rFonts w:ascii="Times New Roman,Bold" w:hAnsi="Times New Roman,Bold" w:cs="Times New Roman,Bold"/>
                <w:b/>
                <w:bCs/>
                <w:sz w:val="18"/>
                <w:szCs w:val="18"/>
                <w:lang w:val="en-US"/>
              </w:rPr>
              <w:t>th</w:t>
            </w:r>
            <w:r>
              <w:rPr>
                <w:rFonts w:ascii="Times New Roman,Bold" w:hAnsi="Times New Roman,Bold" w:cs="Times New Roman,Bold"/>
                <w:b/>
                <w:bCs/>
                <w:sz w:val="18"/>
                <w:szCs w:val="18"/>
                <w:lang w:val="en-US"/>
              </w:rPr>
              <w:t>EPR</w:t>
            </w:r>
          </w:p>
          <w:p w14:paraId="457DE118" w14:textId="77777777" w:rsidR="00FD1052" w:rsidRDefault="00FD1052" w:rsidP="00FD1052">
            <w:pPr>
              <w:autoSpaceDE w:val="0"/>
              <w:autoSpaceDN w:val="0"/>
              <w:adjustRightInd w:val="0"/>
              <w:rPr>
                <w:rFonts w:ascii="Times New Roman,Bold" w:hAnsi="Times New Roman,Bold" w:cs="Times New Roman,Bold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Times New Roman,Bold" w:hAnsi="Times New Roman,Bold" w:cs="Times New Roman,Bold"/>
                <w:b/>
                <w:bCs/>
                <w:sz w:val="18"/>
                <w:szCs w:val="18"/>
                <w:lang w:val="en-US"/>
              </w:rPr>
              <w:t>accesses being labelled as anomalous in a specialist Liverpool</w:t>
            </w:r>
          </w:p>
          <w:p w14:paraId="2EC88C8A" w14:textId="77777777" w:rsidR="003B10B3" w:rsidRDefault="00FD1052" w:rsidP="003B1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,Bold" w:hAnsi="Times New Roman,Bold" w:cs="Times New Roman,Bold"/>
                <w:b/>
                <w:bCs/>
                <w:sz w:val="18"/>
                <w:szCs w:val="18"/>
                <w:lang w:val="en-US"/>
              </w:rPr>
              <w:t>(UK) hospital.</w:t>
            </w:r>
            <w:r w:rsidR="003B10B3">
              <w:rPr>
                <w:rFonts w:ascii="Times New Roman,Bold" w:hAnsi="Times New Roman,Bold" w:cs="Times New Roman,Bold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B1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ensemble</w:t>
            </w:r>
          </w:p>
          <w:p w14:paraId="4D4B98B4" w14:textId="5EC4524A" w:rsidR="00C60CCD" w:rsidRPr="00C83932" w:rsidRDefault="003B10B3" w:rsidP="003B10B3">
            <w:pPr>
              <w:rPr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averaging and a human-in-the-loop model</w:t>
            </w:r>
          </w:p>
        </w:tc>
        <w:tc>
          <w:tcPr>
            <w:tcW w:w="1730" w:type="dxa"/>
          </w:tcPr>
          <w:p w14:paraId="4AC993E6" w14:textId="5FDC3BB6" w:rsidR="00C60CCD" w:rsidRPr="00C83932" w:rsidRDefault="00C60CCD" w:rsidP="0090692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328" w:type="dxa"/>
          </w:tcPr>
          <w:p w14:paraId="696CEB37" w14:textId="132E7554" w:rsidR="00C60CCD" w:rsidRPr="00C83932" w:rsidRDefault="00C60CCD" w:rsidP="00383AD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96" w:type="dxa"/>
          </w:tcPr>
          <w:p w14:paraId="34110BD0" w14:textId="3B28CDB2" w:rsidR="00C60CCD" w:rsidRPr="00C83932" w:rsidRDefault="00C60CCD" w:rsidP="00383AD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14"/>
                <w:szCs w:val="14"/>
                <w:lang w:val="en-US"/>
              </w:rPr>
            </w:pPr>
          </w:p>
        </w:tc>
      </w:tr>
      <w:tr w:rsidR="00C60CCD" w:rsidRPr="00C83932" w14:paraId="5FC3359F" w14:textId="4BDE5D18" w:rsidTr="000D2C8D">
        <w:trPr>
          <w:trHeight w:val="336"/>
        </w:trPr>
        <w:tc>
          <w:tcPr>
            <w:tcW w:w="2002" w:type="dxa"/>
          </w:tcPr>
          <w:p w14:paraId="14CCFA8E" w14:textId="75A01D19" w:rsidR="00C60CCD" w:rsidRPr="00C83932" w:rsidRDefault="00C60CC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</w:tcPr>
          <w:p w14:paraId="16B4E7AA" w14:textId="77777777" w:rsidR="00C60CCD" w:rsidRPr="00C83932" w:rsidRDefault="00C60CC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</w:tcPr>
          <w:p w14:paraId="35282293" w14:textId="3ED9E4D5" w:rsidR="00C60CCD" w:rsidRPr="00C83932" w:rsidRDefault="00C60CCD" w:rsidP="00FD1897">
            <w:pPr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14:paraId="49DEE331" w14:textId="7A25484A" w:rsidR="00C60CCD" w:rsidRPr="00C83932" w:rsidRDefault="00C60CCD" w:rsidP="00BC189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30" w:type="dxa"/>
          </w:tcPr>
          <w:p w14:paraId="3B008B21" w14:textId="682E0E13" w:rsidR="00C60CCD" w:rsidRPr="00C83932" w:rsidRDefault="00C60CC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328" w:type="dxa"/>
          </w:tcPr>
          <w:p w14:paraId="1D003163" w14:textId="77777777" w:rsidR="00C60CCD" w:rsidRPr="00C83932" w:rsidRDefault="00C60CC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96" w:type="dxa"/>
          </w:tcPr>
          <w:p w14:paraId="2CA648BF" w14:textId="61114AE8" w:rsidR="00C60CCD" w:rsidRPr="00C83932" w:rsidRDefault="00C60CCD">
            <w:pPr>
              <w:rPr>
                <w:sz w:val="16"/>
                <w:szCs w:val="16"/>
                <w:lang w:val="en-US"/>
              </w:rPr>
            </w:pPr>
          </w:p>
        </w:tc>
      </w:tr>
      <w:tr w:rsidR="00C60CCD" w:rsidRPr="00C83932" w14:paraId="412E85A4" w14:textId="23484116" w:rsidTr="000D2C8D">
        <w:trPr>
          <w:trHeight w:val="336"/>
        </w:trPr>
        <w:tc>
          <w:tcPr>
            <w:tcW w:w="2002" w:type="dxa"/>
          </w:tcPr>
          <w:p w14:paraId="5EECF4E5" w14:textId="3CB17C39" w:rsidR="00C60CCD" w:rsidRPr="00C83932" w:rsidRDefault="00C60CC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</w:tcPr>
          <w:p w14:paraId="437BD0C1" w14:textId="567AB653" w:rsidR="00912A5D" w:rsidRPr="00C83932" w:rsidRDefault="00912A5D" w:rsidP="00912A5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</w:tcPr>
          <w:p w14:paraId="0004549C" w14:textId="75FBD500" w:rsidR="00C60CCD" w:rsidRPr="00C83932" w:rsidRDefault="00C60CCD" w:rsidP="00B63C2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14:paraId="5ACE7375" w14:textId="77777777" w:rsidR="00C60CCD" w:rsidRPr="00C83932" w:rsidRDefault="00C60CC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30" w:type="dxa"/>
          </w:tcPr>
          <w:p w14:paraId="004241B0" w14:textId="06BEA50C" w:rsidR="00C60CCD" w:rsidRPr="00C83932" w:rsidRDefault="00C60CC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328" w:type="dxa"/>
          </w:tcPr>
          <w:p w14:paraId="068DD346" w14:textId="77777777" w:rsidR="00C60CCD" w:rsidRPr="00C83932" w:rsidRDefault="00C60CC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96" w:type="dxa"/>
          </w:tcPr>
          <w:p w14:paraId="25F59F64" w14:textId="1A893841" w:rsidR="00C60CCD" w:rsidRPr="00C83932" w:rsidRDefault="00C60CCD">
            <w:pPr>
              <w:rPr>
                <w:sz w:val="16"/>
                <w:szCs w:val="16"/>
                <w:lang w:val="en-US"/>
              </w:rPr>
            </w:pPr>
          </w:p>
        </w:tc>
      </w:tr>
      <w:tr w:rsidR="00C60CCD" w:rsidRPr="00C83932" w14:paraId="0A08895B" w14:textId="0DBF41DB" w:rsidTr="000D2C8D">
        <w:trPr>
          <w:trHeight w:val="336"/>
        </w:trPr>
        <w:tc>
          <w:tcPr>
            <w:tcW w:w="2002" w:type="dxa"/>
          </w:tcPr>
          <w:p w14:paraId="30C9BB6C" w14:textId="0C6A0CC6" w:rsidR="00C60CCD" w:rsidRPr="00C83932" w:rsidRDefault="00C60CC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</w:tcPr>
          <w:p w14:paraId="4627F394" w14:textId="5791B8C4" w:rsidR="00C60CCD" w:rsidRPr="00C83932" w:rsidRDefault="00C60CCD" w:rsidP="00DE5F3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</w:tcPr>
          <w:p w14:paraId="05B84A56" w14:textId="51AB67C8" w:rsidR="00C60CCD" w:rsidRPr="00C83932" w:rsidRDefault="00C60CC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14:paraId="7C839D11" w14:textId="7FF76A06" w:rsidR="00C60CCD" w:rsidRPr="00C83932" w:rsidRDefault="00C60CC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30" w:type="dxa"/>
          </w:tcPr>
          <w:p w14:paraId="625F0177" w14:textId="3D302EE3" w:rsidR="00C60CCD" w:rsidRPr="00C83932" w:rsidRDefault="00C60CC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328" w:type="dxa"/>
          </w:tcPr>
          <w:p w14:paraId="2A4277F0" w14:textId="77777777" w:rsidR="00C60CCD" w:rsidRPr="00C83932" w:rsidRDefault="00C60CC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96" w:type="dxa"/>
          </w:tcPr>
          <w:p w14:paraId="7D4E240E" w14:textId="77777777" w:rsidR="00C60CCD" w:rsidRPr="00C83932" w:rsidRDefault="00C60CCD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2DF29E71" w14:textId="77777777" w:rsidR="0087792F" w:rsidRPr="00C83932" w:rsidRDefault="0087792F">
      <w:pPr>
        <w:rPr>
          <w:sz w:val="16"/>
          <w:szCs w:val="16"/>
          <w:lang w:val="en-US"/>
        </w:rPr>
      </w:pPr>
    </w:p>
    <w:p w14:paraId="73FA3C53" w14:textId="6F4E1686" w:rsidR="0087792F" w:rsidRPr="00C83932" w:rsidRDefault="009132A4">
      <w:pPr>
        <w:rPr>
          <w:sz w:val="16"/>
          <w:szCs w:val="16"/>
          <w:lang w:val="en-US"/>
        </w:rPr>
      </w:pPr>
      <w:r w:rsidRPr="00C83932">
        <w:rPr>
          <w:sz w:val="16"/>
          <w:szCs w:val="16"/>
          <w:lang w:val="en-US"/>
        </w:rPr>
        <w:t>In general, anomalies can be defined as any observations that are different from the normal behavior of the data</w:t>
      </w:r>
      <w:r w:rsidR="00F63B92" w:rsidRPr="00C83932">
        <w:rPr>
          <w:sz w:val="16"/>
          <w:szCs w:val="16"/>
          <w:lang w:val="en-US"/>
        </w:rPr>
        <w:fldChar w:fldCharType="begin"/>
      </w:r>
      <w:r w:rsidR="001B6EDA" w:rsidRPr="00C83932">
        <w:rPr>
          <w:sz w:val="16"/>
          <w:szCs w:val="16"/>
          <w:lang w:val="en-US"/>
        </w:rPr>
        <w:instrText xml:space="preserve"> ADDIN EN.CITE &lt;EndNote&gt;&lt;Cite&gt;&lt;Author&gt;Das&lt;/Author&gt;&lt;Year&gt;2008&lt;/Year&gt;&lt;RecNum&gt;2022&lt;/RecNum&gt;&lt;DisplayText&gt;[7]&lt;/DisplayText&gt;&lt;record&gt;&lt;rec-number&gt;2022&lt;/rec-number&gt;&lt;foreign-keys&gt;&lt;key app="EN" db-id="9a20v0t2yvfat1e2ff2xes5c509rdpxaax0f" timestamp="1602149336" guid="ae17f68d-593c-47fa-b52c-51ce6ce87564"&gt;2022&lt;/key&gt;&lt;/foreign-keys&gt;&lt;ref-type name="Conference Proceedings"&gt;10&lt;/ref-type&gt;&lt;contributors&gt;&lt;authors&gt;&lt;author&gt;Das, Kaustav&lt;/author&gt;&lt;author&gt;Schneider, Jeff&lt;/author&gt;&lt;author&gt;Neill, Daniel B&lt;/author&gt;&lt;/authors&gt;&lt;/contributors&gt;&lt;titles&gt;&lt;title&gt;Anomaly pattern detection in categorical datasets&lt;/title&gt;&lt;secondary-title&gt;Proceedings of the 14th ACM SIGKDD international conference on Knowledge discovery and data mining&lt;/secondary-title&gt;&lt;/titles&gt;&lt;pages&gt;169-176&lt;/pages&gt;&lt;dates&gt;&lt;year&gt;2008&lt;/year&gt;&lt;/dates&gt;&lt;urls&gt;&lt;/urls&gt;&lt;/record&gt;&lt;/Cite&gt;&lt;/EndNote&gt;</w:instrText>
      </w:r>
      <w:r w:rsidR="00F63B92" w:rsidRPr="00C83932">
        <w:rPr>
          <w:sz w:val="16"/>
          <w:szCs w:val="16"/>
          <w:lang w:val="en-US"/>
        </w:rPr>
        <w:fldChar w:fldCharType="separate"/>
      </w:r>
      <w:r w:rsidR="001B6EDA" w:rsidRPr="00C83932">
        <w:rPr>
          <w:noProof/>
          <w:sz w:val="16"/>
          <w:szCs w:val="16"/>
          <w:lang w:val="en-US"/>
        </w:rPr>
        <w:t>[7]</w:t>
      </w:r>
      <w:r w:rsidR="00F63B92" w:rsidRPr="00C83932">
        <w:rPr>
          <w:sz w:val="16"/>
          <w:szCs w:val="16"/>
          <w:lang w:val="en-US"/>
        </w:rPr>
        <w:fldChar w:fldCharType="end"/>
      </w:r>
    </w:p>
    <w:p w14:paraId="595002E2" w14:textId="4E627F2E" w:rsidR="001B6EDA" w:rsidRPr="00C83932" w:rsidRDefault="0087792F" w:rsidP="000D2C8D">
      <w:pPr>
        <w:pStyle w:val="EndNoteBibliography"/>
        <w:spacing w:after="0"/>
        <w:ind w:left="720" w:hanging="720"/>
        <w:rPr>
          <w:sz w:val="16"/>
          <w:szCs w:val="16"/>
        </w:rPr>
      </w:pPr>
      <w:r w:rsidRPr="00C83932">
        <w:rPr>
          <w:sz w:val="16"/>
          <w:szCs w:val="16"/>
        </w:rPr>
        <w:fldChar w:fldCharType="begin"/>
      </w:r>
      <w:r w:rsidRPr="00C83932">
        <w:rPr>
          <w:sz w:val="16"/>
          <w:szCs w:val="16"/>
        </w:rPr>
        <w:instrText xml:space="preserve"> ADDIN EN.REFLIST </w:instrText>
      </w:r>
      <w:r w:rsidRPr="00C83932">
        <w:rPr>
          <w:sz w:val="16"/>
          <w:szCs w:val="16"/>
        </w:rPr>
        <w:fldChar w:fldCharType="separate"/>
      </w:r>
    </w:p>
    <w:p w14:paraId="422C6108" w14:textId="77777777" w:rsidR="001B6EDA" w:rsidRPr="00C83932" w:rsidRDefault="001B6EDA" w:rsidP="001B6EDA">
      <w:pPr>
        <w:pStyle w:val="EndNoteBibliography"/>
        <w:ind w:left="720" w:hanging="720"/>
        <w:rPr>
          <w:sz w:val="16"/>
          <w:szCs w:val="16"/>
        </w:rPr>
      </w:pPr>
      <w:r w:rsidRPr="000D2C8D">
        <w:rPr>
          <w:sz w:val="16"/>
          <w:szCs w:val="16"/>
          <w:lang w:val="de-DE"/>
        </w:rPr>
        <w:t>7.</w:t>
      </w:r>
      <w:r w:rsidRPr="000D2C8D">
        <w:rPr>
          <w:sz w:val="16"/>
          <w:szCs w:val="16"/>
          <w:lang w:val="de-DE"/>
        </w:rPr>
        <w:tab/>
        <w:t xml:space="preserve">Das, K., J. Schneider, and D.B. Neill. </w:t>
      </w:r>
      <w:r w:rsidRPr="00C83932">
        <w:rPr>
          <w:i/>
          <w:sz w:val="16"/>
          <w:szCs w:val="16"/>
        </w:rPr>
        <w:t>Anomaly pattern detection in categorical datasets</w:t>
      </w:r>
      <w:r w:rsidRPr="00C83932">
        <w:rPr>
          <w:sz w:val="16"/>
          <w:szCs w:val="16"/>
        </w:rPr>
        <w:t xml:space="preserve">. in </w:t>
      </w:r>
      <w:r w:rsidRPr="00C83932">
        <w:rPr>
          <w:i/>
          <w:sz w:val="16"/>
          <w:szCs w:val="16"/>
        </w:rPr>
        <w:t>Proceedings of the 14th ACM SIGKDD international conference on Knowledge discovery and data mining</w:t>
      </w:r>
      <w:r w:rsidRPr="00C83932">
        <w:rPr>
          <w:sz w:val="16"/>
          <w:szCs w:val="16"/>
        </w:rPr>
        <w:t>. 2008.</w:t>
      </w:r>
    </w:p>
    <w:p w14:paraId="75BBCB1E" w14:textId="69566073" w:rsidR="00B950BB" w:rsidRPr="00C83932" w:rsidRDefault="0087792F">
      <w:pPr>
        <w:rPr>
          <w:sz w:val="16"/>
          <w:szCs w:val="16"/>
          <w:lang w:val="en-US"/>
        </w:rPr>
      </w:pPr>
      <w:r w:rsidRPr="00C83932">
        <w:rPr>
          <w:sz w:val="16"/>
          <w:szCs w:val="16"/>
          <w:lang w:val="en-US"/>
        </w:rPr>
        <w:fldChar w:fldCharType="end"/>
      </w:r>
    </w:p>
    <w:sectPr w:rsidR="00B950BB" w:rsidRPr="00C83932" w:rsidSect="00B63C26">
      <w:pgSz w:w="16838" w:h="11906" w:orient="landscape"/>
      <w:pgMar w:top="851" w:right="395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6CDDF" w14:textId="77777777" w:rsidR="00B5607D" w:rsidRDefault="00B5607D" w:rsidP="00FE5281">
      <w:pPr>
        <w:spacing w:after="0" w:line="240" w:lineRule="auto"/>
      </w:pPr>
      <w:r>
        <w:separator/>
      </w:r>
    </w:p>
  </w:endnote>
  <w:endnote w:type="continuationSeparator" w:id="0">
    <w:p w14:paraId="431EBD25" w14:textId="77777777" w:rsidR="00B5607D" w:rsidRDefault="00B5607D" w:rsidP="00FE5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,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F292C" w14:textId="77777777" w:rsidR="00B5607D" w:rsidRDefault="00B5607D" w:rsidP="00FE5281">
      <w:pPr>
        <w:spacing w:after="0" w:line="240" w:lineRule="auto"/>
      </w:pPr>
      <w:r>
        <w:separator/>
      </w:r>
    </w:p>
  </w:footnote>
  <w:footnote w:type="continuationSeparator" w:id="0">
    <w:p w14:paraId="7BAB7D95" w14:textId="77777777" w:rsidR="00B5607D" w:rsidRDefault="00B5607D" w:rsidP="00FE52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a20v0t2yvfat1e2ff2xes5c509rdpxaax0f&quot;&gt;My EndNote Library1 - Converted&lt;record-ids&gt;&lt;item&gt;638&lt;/item&gt;&lt;item&gt;641&lt;/item&gt;&lt;item&gt;698&lt;/item&gt;&lt;item&gt;841&lt;/item&gt;&lt;item&gt;986&lt;/item&gt;&lt;item&gt;2022&lt;/item&gt;&lt;item&gt;2023&lt;/item&gt;&lt;/record-ids&gt;&lt;/item&gt;&lt;/Libraries&gt;"/>
  </w:docVars>
  <w:rsids>
    <w:rsidRoot w:val="00B950BB"/>
    <w:rsid w:val="00003794"/>
    <w:rsid w:val="00081FDE"/>
    <w:rsid w:val="000848DE"/>
    <w:rsid w:val="000A79FB"/>
    <w:rsid w:val="000C71E6"/>
    <w:rsid w:val="000D2C8D"/>
    <w:rsid w:val="000E3758"/>
    <w:rsid w:val="000F0587"/>
    <w:rsid w:val="001517F8"/>
    <w:rsid w:val="00172973"/>
    <w:rsid w:val="001946A4"/>
    <w:rsid w:val="001A1B5E"/>
    <w:rsid w:val="001A38F6"/>
    <w:rsid w:val="001B6EDA"/>
    <w:rsid w:val="001E2BC3"/>
    <w:rsid w:val="001F3C82"/>
    <w:rsid w:val="001F74A3"/>
    <w:rsid w:val="00243029"/>
    <w:rsid w:val="00252D28"/>
    <w:rsid w:val="002A452B"/>
    <w:rsid w:val="002A5C5C"/>
    <w:rsid w:val="002B1E38"/>
    <w:rsid w:val="002C5330"/>
    <w:rsid w:val="00306485"/>
    <w:rsid w:val="00331456"/>
    <w:rsid w:val="00383AD1"/>
    <w:rsid w:val="003A2AA0"/>
    <w:rsid w:val="003B09C3"/>
    <w:rsid w:val="003B10B3"/>
    <w:rsid w:val="003D6F52"/>
    <w:rsid w:val="003D7A8C"/>
    <w:rsid w:val="004047B9"/>
    <w:rsid w:val="004200C1"/>
    <w:rsid w:val="0042645D"/>
    <w:rsid w:val="0045698A"/>
    <w:rsid w:val="00457264"/>
    <w:rsid w:val="00474B03"/>
    <w:rsid w:val="004851CE"/>
    <w:rsid w:val="004957AC"/>
    <w:rsid w:val="004F349F"/>
    <w:rsid w:val="00554FB8"/>
    <w:rsid w:val="00565D2A"/>
    <w:rsid w:val="00577E13"/>
    <w:rsid w:val="00591129"/>
    <w:rsid w:val="005B4CE8"/>
    <w:rsid w:val="00633DC8"/>
    <w:rsid w:val="00637304"/>
    <w:rsid w:val="00654C40"/>
    <w:rsid w:val="00671D79"/>
    <w:rsid w:val="00674E2B"/>
    <w:rsid w:val="00680562"/>
    <w:rsid w:val="006C5F79"/>
    <w:rsid w:val="00762AF0"/>
    <w:rsid w:val="007A5D58"/>
    <w:rsid w:val="007E06E2"/>
    <w:rsid w:val="007E79E1"/>
    <w:rsid w:val="007F4114"/>
    <w:rsid w:val="00805D9A"/>
    <w:rsid w:val="00837AA1"/>
    <w:rsid w:val="00837AFD"/>
    <w:rsid w:val="00860D40"/>
    <w:rsid w:val="0087792F"/>
    <w:rsid w:val="008C4C47"/>
    <w:rsid w:val="008F2C74"/>
    <w:rsid w:val="008F3E1A"/>
    <w:rsid w:val="0090692C"/>
    <w:rsid w:val="00912A5D"/>
    <w:rsid w:val="009132A4"/>
    <w:rsid w:val="00942A43"/>
    <w:rsid w:val="00952A18"/>
    <w:rsid w:val="00957D51"/>
    <w:rsid w:val="009632EE"/>
    <w:rsid w:val="00983DFC"/>
    <w:rsid w:val="009B6A8B"/>
    <w:rsid w:val="00A0212D"/>
    <w:rsid w:val="00A064F4"/>
    <w:rsid w:val="00A12326"/>
    <w:rsid w:val="00A24B9C"/>
    <w:rsid w:val="00A3105C"/>
    <w:rsid w:val="00A51506"/>
    <w:rsid w:val="00A72C48"/>
    <w:rsid w:val="00A81BBB"/>
    <w:rsid w:val="00A8258B"/>
    <w:rsid w:val="00A87279"/>
    <w:rsid w:val="00AE589B"/>
    <w:rsid w:val="00B16A77"/>
    <w:rsid w:val="00B20305"/>
    <w:rsid w:val="00B53786"/>
    <w:rsid w:val="00B5607D"/>
    <w:rsid w:val="00B63C26"/>
    <w:rsid w:val="00B950BB"/>
    <w:rsid w:val="00BC1893"/>
    <w:rsid w:val="00BD012B"/>
    <w:rsid w:val="00BE3971"/>
    <w:rsid w:val="00C4255F"/>
    <w:rsid w:val="00C60CCD"/>
    <w:rsid w:val="00C65A71"/>
    <w:rsid w:val="00C83932"/>
    <w:rsid w:val="00CB1EA1"/>
    <w:rsid w:val="00CD6CB4"/>
    <w:rsid w:val="00CE5729"/>
    <w:rsid w:val="00D1285B"/>
    <w:rsid w:val="00D47B1C"/>
    <w:rsid w:val="00D77784"/>
    <w:rsid w:val="00D9798D"/>
    <w:rsid w:val="00DB4648"/>
    <w:rsid w:val="00DB6111"/>
    <w:rsid w:val="00DC0CBB"/>
    <w:rsid w:val="00DD66B8"/>
    <w:rsid w:val="00DE5F39"/>
    <w:rsid w:val="00E3777C"/>
    <w:rsid w:val="00EF7EE0"/>
    <w:rsid w:val="00F25372"/>
    <w:rsid w:val="00F60DA5"/>
    <w:rsid w:val="00F63B92"/>
    <w:rsid w:val="00F77813"/>
    <w:rsid w:val="00FD1052"/>
    <w:rsid w:val="00FD1897"/>
    <w:rsid w:val="00FE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20ECA"/>
  <w15:chartTrackingRefBased/>
  <w15:docId w15:val="{FC538681-62F4-493F-B30A-1126E797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7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8258B"/>
    <w:rPr>
      <w:color w:val="0000FF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87792F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7792F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7792F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7792F"/>
    <w:rPr>
      <w:rFonts w:ascii="Calibri" w:hAnsi="Calibri" w:cs="Calibri"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A79F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0A7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-headline">
    <w:name w:val="mw-headline"/>
    <w:basedOn w:val="DefaultParagraphFont"/>
    <w:rsid w:val="000A79FB"/>
  </w:style>
  <w:style w:type="character" w:customStyle="1" w:styleId="mw-editsection">
    <w:name w:val="mw-editsection"/>
    <w:basedOn w:val="DefaultParagraphFont"/>
    <w:rsid w:val="000A79FB"/>
  </w:style>
  <w:style w:type="character" w:customStyle="1" w:styleId="mw-editsection-bracket">
    <w:name w:val="mw-editsection-bracket"/>
    <w:basedOn w:val="DefaultParagraphFont"/>
    <w:rsid w:val="000A79FB"/>
  </w:style>
  <w:style w:type="character" w:customStyle="1" w:styleId="mwe-math-mathml-inline">
    <w:name w:val="mwe-math-mathml-inline"/>
    <w:basedOn w:val="DefaultParagraphFont"/>
    <w:rsid w:val="000A79FB"/>
  </w:style>
  <w:style w:type="paragraph" w:styleId="BalloonText">
    <w:name w:val="Balloon Text"/>
    <w:basedOn w:val="Normal"/>
    <w:link w:val="BalloonTextChar"/>
    <w:uiPriority w:val="99"/>
    <w:semiHidden/>
    <w:unhideWhenUsed/>
    <w:rsid w:val="007E79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9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0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685</Words>
  <Characters>3473</Characters>
  <Application>Microsoft Office Word</Application>
  <DocSecurity>0</DocSecurity>
  <Lines>289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 Yeng</dc:creator>
  <cp:keywords/>
  <dc:description/>
  <cp:lastModifiedBy>Prosper Yeng</cp:lastModifiedBy>
  <cp:revision>38</cp:revision>
  <dcterms:created xsi:type="dcterms:W3CDTF">2020-10-29T10:56:00Z</dcterms:created>
  <dcterms:modified xsi:type="dcterms:W3CDTF">2020-11-02T14:25:00Z</dcterms:modified>
</cp:coreProperties>
</file>