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2A"/>
          <w:sz w:val="56"/>
          <w:szCs w:val="56"/>
        </w:rPr>
        <w:t xml:space="preserve">PLATAFORMA DE GESTÃO 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2A"/>
          <w:sz w:val="56"/>
          <w:szCs w:val="56"/>
        </w:rPr>
        <w:t xml:space="preserve">INTELIGÊNCIA REGULATÓRIA AMBIENTAL</w:t>
      </w:r>
    </w:p>
    <w:p>
      <w:pPr>
        <w:spacing w:after="1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2D6A4F"/>
          <w:sz w:val="30"/>
          <w:szCs w:val="30"/>
        </w:rPr>
        <w:t xml:space="preserve">Documento de Arquitetura Técnica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—  Uso Interno da Equipe de Desenvolvimento</w:t>
      </w:r>
    </w:p>
    <w:p>
      <w:pPr>
        <w:spacing w:after="100"/>
      </w:pPr>
      <w:r>
        <w:t xml:space="preserve"/>
      </w:r>
    </w:p>
    <w:p>
      <w:pPr>
        <w:pBdr>
          <w:top w:val="single" w:color="52B788" w:sz="6"/>
          <w:bottom w:val="single" w:color="52B788" w:sz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40916C"/>
          <w:sz w:val="26"/>
          <w:szCs w:val="26"/>
        </w:rPr>
        <w:t xml:space="preserve">Sistema multiagente de IA para regularização fundiária e ambiental</w:t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1. Visão Geral da Arquitetura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documento descreve a arquitetura técnica completa da Plataforma de Gestão e Inteligência Regulatória Ambiental. O sistema é projetado como um conjunto de microsserviços desacoplados, onde cada camada tem responsabilidade única, permitindo evolução independente e escalabilidade horizontal.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Princípios Arquiteturais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Separação de responsabilidades: frontend, backend transacional e motor de IA completamente desacoplados.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Multi-tenant desde o dia 1: todas as tabelas do banco incluem tenant_id para isolamento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Auditabilidade total: cada ação de IA registra versão do prompt, modelo e dado de entrada para conformidade regulatória.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Human-in-the-loop: nenhuma decisão crítica é finalizada sem validação humana.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Escalabilidade horizontal: microsserviços podem ser replicados independentemente conforme a carga.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Mapa dos Módulos do Sistema</w:t>
      </w:r>
    </w:p>
    <w:p>
      <w:pPr>
        <w:spacing w:after="100"/>
      </w:pPr>
      <w:r>
        <w:t xml:space="preserve"/>
      </w:r>
    </w:p>
    <w:tbl>
      <w:tblPr>
        <w:tblW w:type="dxa" w:w="9426"/>
      </w:tblPr>
      <w:tblGrid>
        <w:gridCol w:w="2800"/>
        <w:gridCol w:w="24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Interface do painel, formulários, visualizador de docs/mapas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PHP (Laravel)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Regras de negócio, RBAC, faturamento, orquestração de API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de IA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OCR, chamadas LLM nativas, RAG, agentes especialistas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Dados relacionais, geoespaciais, multi-tenant, auditoria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PDFs pesados, shapefiles, imagens de campo, laudos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Mensageria / Filas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 + Laravel Queues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Comunicação assíncrona entre PHP e Python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Site Institucional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Landing page, SEO, captação de leads da consultoria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2. Camada Frontend — React + Vite (SPA)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painel operacional da plataforma é uma Single Page Application (SPA) construída com React e Vite. Sendo uma aplicação interna logada, não há necessidade de SSR (Server-Side Rendering), o que elimina custos de servidor para renderização de interface.</w:t>
      </w:r>
    </w:p>
    <w:p>
      <w:pPr>
        <w:spacing w:after="100"/>
      </w:pPr>
      <w:r>
        <w:t xml:space="preserve"/>
      </w:r>
    </w:p>
    <w:p>
      <w:pPr>
        <w:pBdr>
          <w:top w:val="single" w:color="52B788" w:sz="6"/>
          <w:left w:val="single" w:color="52B788" w:sz="6"/>
          <w:right w:val="single" w:color="52B788" w:sz="6"/>
        </w:pBdr>
        <w:shd w:fill="D8F3DC" w:val="clear"/>
        <w:spacing w:before="200" w:after="60"/>
        <w:ind w:left="200" w:right="200"/>
      </w:pPr>
      <w:r>
        <w:rPr>
          <w:rFonts w:ascii="Arial" w:cs="Arial" w:eastAsia="Arial" w:hAnsi="Arial"/>
          <w:b/>
          <w:bCs/>
          <w:color w:val="1A3C2A"/>
          <w:sz w:val="24"/>
          <w:szCs w:val="24"/>
        </w:rPr>
        <w:t xml:space="preserve">Por que React + Vite e não Next.js para o painel?</w:t>
      </w:r>
    </w:p>
    <w:p>
      <w:pPr>
        <w:pBdr>
          <w:left w:val="single" w:color="52B788" w:sz="6"/>
          <w:right w:val="single" w:color="52B788" w:sz="6"/>
        </w:pBdr>
        <w:shd w:fill="D8F3DC" w:val="clear"/>
        <w:spacing w:after="60"/>
        <w:ind w:left="200" w:right="2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 Next.js exige um servidor Node.js ativo para SSR, gerando custo operacional e complexidade desnecessários em um painel autenticado. O React + Vite gera artefatos estáticos hospedados por centavos em S3/Cloudflare Pages com CDN global. O Next.js é adotado APENAS para o site institucional, onde o SEO é crítico.</w:t>
      </w:r>
    </w:p>
    <w:p>
      <w:pPr>
        <w:pBdr>
          <w:bottom w:val="single" w:color="52B788" w:sz="6"/>
          <w:left w:val="single" w:color="52B788" w:sz="6"/>
          <w:right w:val="single" w:color="52B788" w:sz="6"/>
        </w:pBdr>
        <w:shd w:fill="D8F3DC" w:val="clear"/>
        <w:spacing w:after="200"/>
        <w:ind w:left="200" w:right="2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Componentes e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Dashboard central com métricas de processos ativos, prazos vencendo e tarefas pendentes.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Kanban de tarefas: visão operacional por processo, responsável 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Visualizador de PDFs e mapas integrado (usando bibliotecas como react-pdf e Leaflet/MapLibre GL).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Formulário inteligente de entrada de demandas (Intake Wizard), guiado por tipo de serviço.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Painel de comunicação com cliente: geração de relatórios de status simplificados.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Upload de documentos com drag-and-drop, vinculação automática ao processo correto.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Segurança do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Autenticação via JWT RS256 (chave pública/privada). O token é armazenado apenas em memória (nunca em localStorage) para mitigar ataques XSS.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Refresh token com rotação automática armazenado em cookie HttpOnly SameSite=Strict.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Todas as rotas protegidas por guards de permissão que consultam o perfil RBAC do usuário logado.</w:t>
      </w:r>
    </w:p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Parceiros terceirizados acessam um subdomínio isolado com escopo de dados restrito. Nunca acessam o painel principal.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3. Camada Backend Core — PHP (Laravel)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backend é o maestro transacional do sistema. Ele não executa IA diretamente: centraliza regras de negócio, valida autorizações, persiste dados no PostgreSQL e despacha trabalhos para o motor Python via fila assíncrona. Isso garante que o fluxo principal nunca trave esperando a IA processar um PDF de 50 páginas.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Responsabilidades do Backend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Autenticação e autorização (RBAC): Admin, Consultor Sênior, Técnico de Campo, Parceiro, Cliente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CRUD completo de Clientes, Imóveis, Processos, Tarefas, Documentos e Condicionantes.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Gestão de contratos, faturamento por etapas e gatilhos de cobrança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Disparo de webhooks e e-mails transacionais (vencimentos, pendências, atualizações de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Geração de URLs assinadas e temporárias para acesso seguro a arquivos no S3.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Orquestração: ao receber um documento novo, publica job na fila para o Python processar.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Comunicação Assíncrona com o Motor de IA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comunicação entre PHP e Python NÃO é síncrona. Um webhook direto travaria a requisição do usuário por minutos enquanto a IA lê matrículas complexas. O fluxo correto é:</w:t>
      </w:r>
    </w:p>
    <w:p>
      <w:pPr>
        <w:spacing w:after="100"/>
      </w:pPr>
      <w:r>
        <w:t xml:space="preserve"/>
      </w:r>
    </w:p>
    <w:tbl>
      <w:tblPr>
        <w:tblW w:type="dxa" w:w="9426"/>
      </w:tblPr>
      <w:tblGrid>
        <w:gridCol w:w="480"/>
        <w:gridCol w:w="1800"/>
        <w:gridCol w:w="7146"/>
      </w:tblGrid>
      <w:tr>
        <w:trPr>
          <w:tblHeader/>
        </w:trPr>
        <w:tc>
          <w:tcPr>
            <w:tcW w:type="dxa" w:w="48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714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Usuário faz upload do PDF e clica em Analisar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PHP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Salva referência do arquivo no PostgreSQL, publica job na fila Redis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Fila Redis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Job fica na fila até o worker Python estar disponível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Python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Consome o job, processa OCR + LLM, devolve JSON estruturado via callback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PHP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Recebe callback, salva resultado no banco, emite evento via WebSocket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4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Painel atualiza em tempo real sem reload (usando Laravel Echo / Pusher)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Nunca use chamadas HTTP síncronas diretas do PHP para o Python em processamentos pesados. O usuário não pode ficar esperando uma requisição de 3 minutos travar.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4. Motor de Inteligência Artificial — Python + FastAPI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microsserviço de IA roda em servidor isolado. Recebe jobs da fila, processa com SDKs nativos (Google Vertex AI / OpenAI), e devolve JSON estruturado. Não utilizamos LangChain ou LangGraph: frameworks pesados criam camadas de abstração que dificultam o debug, escondem o consumo de tokens e engessar o controle de estado em fluxos complexos como este.</w:t>
      </w:r>
    </w:p>
    <w:p>
      <w:pPr>
        <w:spacing w:after="100"/>
      </w:pPr>
      <w:r>
        <w:t xml:space="preserve"/>
      </w:r>
    </w:p>
    <w:p>
      <w:pPr>
        <w:pBdr>
          <w:top w:val="single" w:color="52B788" w:sz="6"/>
          <w:left w:val="single" w:color="52B788" w:sz="6"/>
          <w:right w:val="single" w:color="52B788" w:sz="6"/>
        </w:pBdr>
        <w:shd w:fill="D8F3DC" w:val="clear"/>
        <w:spacing w:before="200" w:after="60"/>
        <w:ind w:left="200" w:right="200"/>
      </w:pPr>
      <w:r>
        <w:rPr>
          <w:rFonts w:ascii="Arial" w:cs="Arial" w:eastAsia="Arial" w:hAnsi="Arial"/>
          <w:b/>
          <w:bCs/>
          <w:color w:val="1A3C2A"/>
          <w:sz w:val="24"/>
          <w:szCs w:val="24"/>
        </w:rPr>
        <w:t xml:space="preserve">Por que SDK nativo e não LangChain?</w:t>
      </w:r>
    </w:p>
    <w:p>
      <w:pPr>
        <w:pBdr>
          <w:left w:val="single" w:color="52B788" w:sz="6"/>
          <w:right w:val="single" w:color="52B788" w:sz="6"/>
        </w:pBdr>
        <w:shd w:fill="D8F3DC" w:val="clear"/>
        <w:spacing w:after="60"/>
        <w:ind w:left="200" w:right="2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LangChain abstrai o que você PRECISA ver: o prompt exato enviado, os tokens consumidos e a sequência de chamadas. Em produção com PDFs jurídicos, uma alucinação pode gerar um laudo errado. Com SDK nativo, você tem controle absoluto do payload enviado ao modelo, facilidade de debug e menor latência. O Function Calling nativo do Gemini/GPT-4o já resolve toda a orquestração necessária.</w:t>
      </w:r>
    </w:p>
    <w:p>
      <w:pPr>
        <w:pBdr>
          <w:bottom w:val="single" w:color="52B788" w:sz="6"/>
          <w:left w:val="single" w:color="52B788" w:sz="6"/>
          <w:right w:val="single" w:color="52B788" w:sz="6"/>
        </w:pBdr>
        <w:shd w:fill="D8F3DC" w:val="clear"/>
        <w:spacing w:after="200"/>
        <w:ind w:left="200" w:right="2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O Time de Agentes Especialistas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sistema opera com 6 agentes especializados, cada um com escopo, ferramentas e outputs definidos. Eles NÃO são agentes autônomos livres: cada um é ativado por eventos específicos do workflow e sempre retorna dados estruturados em JSON para o banco.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Agente Atendente (Intake)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Nova mensagem recebida via WhatsApp Business API ou e-mail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Macroetapas 1 (Entrada da Demanda) e 14 (Comunicação com cliente)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Flash (baixo custo, alta velocidade para triagem)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WhatsApp Business API, Gmail API, transcrição de áudio (Whisper)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estruturado: nome, cpf_cnpj, tipo_demanda, urgencia, resumo_caso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Lógica: o agente conduz uma entrevista guiada. Se o cliente diz 'o banco bloqueou meu crédito por causa de mata', o agente identifica possível pendência de CAR ou embargo e solicita número do imóvel e município antes de criar o registro. O JSON de saída alimenta diretamente a tabela cases do PostgreSQL.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Agente Extrator Documental (OCR + Diagnóstico)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Upload de documento vinculado a um processo (matrícula, CCIR, CAR, RG, CNPJ)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Macroetapas 2 (Diagnóstico) e 4 (Base de dados)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Pro com Vision / GPT-4o Vision para documentos de baixa qualidade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Pipeline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OCR Clássico (Google Cloud Vision ou Tesseract) → Limpeza de texto → LLM interpreta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Dados extraídos por tipo (área, proprietário, confrontantes, datas), alertas de inconsistência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CRÍTICO: Matrículas antigas escaneadas com baixa qualidade não podem ser enviadas direto para o LLM. Isso gera alucinações e tokens desperdiçados. O pipeline DEVE ter OCR clássico limpando o texto ANTES da chamada ao modelo.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Agente Regulatório (RAG Jurídico)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Consulta do consultor ou classificação de caso pelo Agente Orquestrador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Macroetapas 16 (Inteligência regulatória), 17 (Padronização), 18 (Precedentes)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Pro com RAG sobre base vetorial (pgvector no PostgreSQL)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Código Florestal, Resoluções CONAMA, Portarias SEMA-GO, normativas municipais, precedentes internos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Fundamentação legal, checklist por órgão/tipo de processo, referência a casos anteriores similares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Use pgvector (extensão do PostgreSQL) como banco vetorial. Evita adicionar um serviço externo como Pinecone ou Weaviate. Toda a base de dados fica em um único servidor relacional, simplificando o backup e a conformidade LGPD.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4.4 Agente Orquestrador de Workflow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Conclusão do diagnóstico inicial (Agente 2 + Agente 3)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Macroetapas 5 (Definição do caminho) e 6 (Planejamento operacional)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Flash com Function Calling para criar tarefas via API do backend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Lógica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Analisa tipo de caso + urgência + histórico de prazos similares → monta sequência de etapas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Criação automática de tarefas no Kanban com responsáveis, prazos e dependências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4.5 Agente Redator Técnico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Solicitação manual do consultor no painel (botão 'Gerar Rascunho')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 7 (Execução técnica)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GPT-4o ou Gemini 1.5 Pro (maior qualidade de escrita técnica)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Dados injetados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Nome do proprietário, área, coordenadas, fundamentação legal (Agente 3), template da empresa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Rascunho em .docx de PRAD, memorial descritivo, ofício ou resposta a pendência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4.6 Agente Vigia de Prazos e Monitoramento</w:t>
      </w:r>
    </w:p>
    <w:tbl>
      <w:tblPr>
        <w:tblW w:type="dxa" w:w="9426"/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Ativado por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 job a cada 15 minutos + leitura ativa de caixa de e-mail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Etapas do fluxo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Macroetapas 9 (Acompanhamento), 10 (Pendências), 12 (Condicionantes)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Flash para classificação rápida de e-mails recebidos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Gmail API / Microsoft Graph (Outlook), dashboard de status consolidado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70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Tarefa urgente no Kanban vinculada ao processo correto + alerta WhatsApp/e-mail ao responsável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5. Banco de Dados — PostgreSQL + PostGIS + pgvector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banco é a fundação de concreto de todo o ecossistema. Ele precisa ser projetado para três demandas simultâneas: dados relacionais transacionais (ACID), dados geoespaciais (coordenadas, polígonos de imóveis) e busca vetorial semântica (RAG para o Agente Regulatório).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Extensões Obrigatórias</w:t>
      </w:r>
    </w:p>
    <w:tbl>
      <w:tblPr>
        <w:tblW w:type="dxa" w:w="9426"/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</w:t>
            </w:r>
          </w:p>
        </w:tc>
        <w:tc>
          <w:tcPr>
            <w:tcW w:type="dxa" w:w="66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PostGIS</w:t>
            </w:r>
          </w:p>
        </w:tc>
        <w:tc>
          <w:tcPr>
            <w:tcW w:type="dxa" w:w="66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Armazenamento e cruzamento nativo de coordenadas geográficas, polígonos de imóveis rurais e APPs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pgvector</w:t>
            </w:r>
          </w:p>
        </w:tc>
        <w:tc>
          <w:tcPr>
            <w:tcW w:type="dxa" w:w="66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vetorial para embeddings da base regulatória (RAG do Agente Regulatório). Evita Pinecone/Weaviate externos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uuid-ossp</w:t>
            </w:r>
          </w:p>
        </w:tc>
        <w:tc>
          <w:tcPr>
            <w:tcW w:type="dxa" w:w="66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Geração de UUIDs como chaves primárias (nunca usar ID sequencial em sistemas multi-tenant)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pg_audit</w:t>
            </w:r>
          </w:p>
        </w:tc>
        <w:tc>
          <w:tcPr>
            <w:tcW w:type="dxa" w:w="66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 de auditoria imutável de todas as operações (obrigatório para conformidade governamental futura)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Entidades Principais do Modelo de Dados</w:t>
      </w:r>
    </w:p>
    <w:tbl>
      <w:tblPr>
        <w:tblW w:type="dxa" w:w="9426"/>
      </w:tblPr>
      <w:tblGrid>
        <w:gridCol w:w="2200"/>
        <w:gridCol w:w="34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(Tabela)</w:t>
            </w:r>
          </w:p>
        </w:tc>
        <w:tc>
          <w:tcPr>
            <w:tcW w:type="dxa" w:w="3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  <w:tc>
          <w:tcPr>
            <w:tcW w:type="dxa" w:w="38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tenants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nome, plano, created_at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Raiz de toda hierarquia multi-tenant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role, email, cert_a1_path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Guarda referência (não o arquivo) do certificado A1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cpf_cnpj, nome, contatos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Pessoa física ou jurídica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client_id, area_ha, geom (GEOMETRY)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Coluna geom indexada com GIST para buscas espaciais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cases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client_id, property_id, tipo, status, urgencia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 ambiental principal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case_id, assigned_to, tipo, status, prazo, dependencias[]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Array de dependências entre tarefas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case_id, tipo, s3_key, ocr_status, extracted_data (JSONB)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s3_key é o caminho no bucket, nunca a URL pública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regulatory_chunks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conteudo, embedding (VECTOR)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vetorial do RAG. Compartilhada entre tenants ou por tenant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audit_log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tenant_id, user_id, action, table_name, record_id, diff (JSONB)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Append-only, nunca deletar registros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condicionantes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id, case_id, descricao, prazo_recorrente, ultima_prova_s3</w:t>
            </w:r>
          </w:p>
        </w:tc>
        <w:tc>
          <w:tcPr>
            <w:tcW w:type="dxa" w:w="3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Gestão de condicionantes de longa duração pós-licença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REGRA DE OURO: Arquivo pesado (PDF, shapefile, imagem) NUNCA entra no PostgreSQL. O banco guarda apenas a s3_key (caminho) do arquivo. O conteúdo fica no S3/R2. Isso mantém o banco leve e o backup barato.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6. Estratégia de Integração com Sistemas Governamentais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é o maior desafio técnico do projeto. A maioria dos sistemas do governo (SICAR, SIGEF, portais da SEMA) exige autenticação gov.br com nível Prata/Ouro (2FA) e possui bloqueios anti-robô severos. A automação por RPA (robô clicando na tela) é frágil, ilegal em alguns contextos e quebra a cada atualização do portal.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solução é uma estratégia em três pilares, aplicada conforme a disponibilidade de cada sistema: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Pilar 1 — Certificado Digital A1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portais que aceitam autenticação por certificado (Receita Federal, IBAMA, alguns módulos do SICAR):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cliente ou a consultoria faz upload do arquivo .pfx (Certificado A1) na plataforma, com senha.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backend PHP usa cURL com CURLOPT_SSLCERT para assinar requisições HTTPS com o certificado.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certificado fica criptografado em repouso no S3 (AES-256) e jamais é exposto no frontend.</w:t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Nunca salvar a senha do certificado em texto plano. Usar envelope de criptografia com AWS KMS ou similar.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Pilar 2 — APIs de Data Brokers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consultas rápidas de dados cadastrais e ambientais sem necessidade de portal:</w:t>
      </w:r>
    </w:p>
    <w:tbl>
      <w:tblPr>
        <w:tblW w:type="dxa" w:w="9426"/>
      </w:tblPr>
      <w:tblGrid>
        <w:gridCol w:w="2200"/>
        <w:gridCol w:w="40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disponíveis</w:t>
            </w:r>
          </w:p>
        </w:tc>
        <w:tc>
          <w:tcPr>
            <w:tcW w:type="dxa" w:w="32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cobrança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Serpro / Dataprev</w:t>
            </w:r>
          </w:p>
        </w:tc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CPF, CNPJ, Receita Federal, débitos</w:t>
            </w:r>
          </w:p>
        </w:tc>
        <w:tc>
          <w:tcPr>
            <w:tcW w:type="dxa" w:w="3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Pay-per-query (centavos por consulta)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BigDataCorp / Assertiva</w:t>
            </w:r>
          </w:p>
        </w:tc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Histórico imobiliário, restrições, pendências ambientais</w:t>
            </w:r>
          </w:p>
        </w:tc>
        <w:tc>
          <w:tcPr>
            <w:tcW w:type="dxa" w:w="3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Plano mensal + consumo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Agronow / Agrosmart</w:t>
            </w:r>
          </w:p>
        </w:tc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Dados de propriedades rurais, CAR, histórico de uso do solo</w:t>
            </w:r>
          </w:p>
        </w:tc>
        <w:tc>
          <w:tcPr>
            <w:tcW w:type="dxa" w:w="3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Sob contrato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MapBiomas API</w:t>
            </w:r>
          </w:p>
        </w:tc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Histórico de desmatamento, cobertura vegetal, alertas PRODES</w:t>
            </w:r>
          </w:p>
        </w:tc>
        <w:tc>
          <w:tcPr>
            <w:tcW w:type="dxa" w:w="3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API com limites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 custo de consumo das APIs de data brokers (pay-per-query) deve ser repassado ao cliente final como custo operacional variável, não absorvido pela consultoria.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Pilar 3 — Human-in-the-Loop (Portais Fechados)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sistemas municipais obscuros, portais da SEMA estadual sem API ou sistemas muito antigos: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sistema detecta que precisa de um documento de um portal sem integração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 automaticamente uma tarefa para o consultor: 'Acesse o portal X, baixe o PDF e arraste aqui'.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Assim que o humano faz o upload, o Agente Extrator (4.2) assume: faz OCR, extrai os dados e continua o fluxo automaticamente.</w:t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Esse pilar garante que NENHUM processo trave por falta de integração. O sistema sempre tem um caminho. O humano é acionado só quando não há alternativa automatizada.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7. Storage de Arquivos — AWS S3 / Cloudflare R2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PDFs de matrículas, laudos, shapefiles e fotos de campo podem chegar facilmente a centenas de megabytes por processo. Armazenar esses arquivos no banco PostgreSQL seria catastrófico para performance e custo de backup.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Estrutura de Pastas no Bucket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organização no bucket segue uma hierarquia que espelha o modelo de dados:</w:t>
      </w:r>
    </w:p>
    <w:tbl>
      <w:tblPr>
        <w:tblW w:type="dxa" w:w="9426"/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8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{tenant_id}/clients/{client_id}/documents/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Documentos pessoais (RG, CPF, CNPJ, procurações)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{tenant_id}/properties/{property_id}/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Shapefiles, mapas, fotos de satélite do imóvel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{tenant_id}/cases/{case_id}/docs/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Matrículas, CCIR, CAR, laudos técnicos do processo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{tenant_id}/cases/{case_id}/output/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Documentos gerados pela plataforma (PRADs, ofícios, memoriais)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{tenant_id}/cases/{case_id}/field/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Fotos e dados coletados em campo (modo offline)</w:t>
            </w:r>
          </w:p>
        </w:tc>
      </w:tr>
      <w:tr>
        <w:tc>
          <w:tcPr>
            <w:tcW w:type="dxa" w:w="3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certs/{tenant_id}/</w:t>
            </w:r>
          </w:p>
        </w:tc>
        <w:tc>
          <w:tcPr>
            <w:tcW w:type="dxa" w:w="5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Certificados A1 criptografados. Bucket privado com política de acesso restrita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Segurança de Acesso aos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Nenhum arquivo tem URL pública permanente. O backend gera Presigned URLs com validade de 15 minutos para o frontend baixar ou visualizar um arquivo.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Bucket com política de bloqueio total de acesso público (Block Public Access habilitado).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Versionamento habilitado no bucket para evitar perda acidental de laudos ou documentos legais.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8. Segurança, Auditoria e Conformidade LGPD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Por lidar com dados sensíveis de produtores rurais (CPF, CNPJ, informações fundiárias) e potencialmente órgãos governamentais no futuro, o sistema nasce com padrão bancário de segurança.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Controle de Acesso (RBAC)</w:t>
      </w:r>
    </w:p>
    <w:tbl>
      <w:tblPr>
        <w:tblW w:type="dxa" w:w="9426"/>
      </w:tblPr>
      <w:tblGrid>
        <w:gridCol w:w="2600"/>
        <w:gridCol w:w="6826"/>
      </w:tblGrid>
      <w:tr>
        <w:trPr>
          <w:tblHeader/>
        </w:trPr>
        <w:tc>
          <w:tcPr>
            <w:tcW w:type="dxa" w:w="26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Acesso total: configurações, financeiro, todos os processos, todos os usuários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Consultor Sênior</w:t>
            </w:r>
          </w:p>
        </w:tc>
        <w:tc>
          <w:tcPr>
            <w:tcW w:type="dxa" w:w="6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Todos os processos do tenant. Criação de tarefas e contratos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Técnico de Campo</w:t>
            </w:r>
          </w:p>
        </w:tc>
        <w:tc>
          <w:tcPr>
            <w:tcW w:type="dxa" w:w="6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Apenas processos atribuídos. Upload de documentos e fotos. Sem acesso a financeiro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Parceiro Terceirizado</w:t>
            </w:r>
          </w:p>
        </w:tc>
        <w:tc>
          <w:tcPr>
            <w:tcW w:type="dxa" w:w="6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Apenas tarefas específicas atribuídas a ele. Subdomínio isolado. Zero acesso a dados de outros clientes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6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Portal de acompanhamento read-only do próprio processo. Notificações e relatórios de 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Auditabilidade das Decisões de IA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conformidade futura com editais governamentais e para responsabilidade técnica: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chamada ao LLM registra: modelo utilizado, versão do prompt, tokens consumidos, input hash e output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tabela audit_log é append-only (sem UPDATE ou DELETE permitidos via trigger no PostgreSQL).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Relatórios de auditoria exportáveis por processo, por usuário ou por período.</w:t>
      </w:r>
    </w:p>
    <w:p>
      <w:pPr>
        <w:spacing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Dados em Repouso e em Trânsito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Todo tráfego HTTP usa TLS 1.3 obrigatório. Sem fallback para versões anteriores.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Dados sensíveis em colunas do banco (CPF, CNPJ) armazenados com criptografia de coluna (pgcrypto).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Certificados A1 criptografados com envelope KMS antes de subir para o S3.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Backups automáticos diários com retenção de 30 dias. Backup semanal com retenção de 1 ano.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9. Roadmap de Desenvolvimento em Fases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projeto é dividido em 3 fases de entrega. Cada fase entrega valor imediato ao cliente enquanto constrói a infraestrutura para a fase seguinte. Não há big-bang release.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Fase 1 — Núcleo do Workflow e CRM (Meses 1 a 3)</w:t>
      </w:r>
    </w:p>
    <w:tbl>
      <w:tblPr>
        <w:tblW w:type="dxa" w:w="9426"/>
      </w:tblPr>
      <w:tblGrid>
        <w:gridCol w:w="7200"/>
        <w:gridCol w:w="2226"/>
      </w:tblGrid>
      <w:tr>
        <w:trPr>
          <w:tblHeader/>
        </w:trPr>
        <w:tc>
          <w:tcPr>
            <w:tcW w:type="dxa" w:w="7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2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Autenticação JWT RS256, RBAC com 5 perfis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CRUD de Clientes, Imóveis e Processos (Cliente Vivo)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Kanban de tarefas com responsáveis, prazos e dependências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S3 com upload, presigned URLs e pastas por processo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Site institucional em Next.js (landing page + captação)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PostgreSQL com PostGIS, schema multi-tenant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Resultado: a cliente para de usar Trello, planilhas e WhatsApp para gerenciar processos. Ganho imediato e visível.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Fase 2 — Automação Documental (Meses 4 a 6)</w:t>
      </w:r>
    </w:p>
    <w:tbl>
      <w:tblPr>
        <w:tblW w:type="dxa" w:w="9426"/>
      </w:tblPr>
      <w:tblGrid>
        <w:gridCol w:w="7200"/>
        <w:gridCol w:w="2226"/>
      </w:tblGrid>
      <w:tr>
        <w:trPr>
          <w:tblHeader/>
        </w:trPr>
        <w:tc>
          <w:tcPr>
            <w:tcW w:type="dxa" w:w="7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2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Microsserviço Python + FastAPI + fila Redis integrada ao Laravel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Pipeline OCR: Google Cloud Vision → limpeza → extração estruturada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Atendente (triagem WhatsApp/e-mail → JSON estruturado)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Extrator (leitura de matrículas, CCIR, CAR com alertas de inconsistência)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Redator (geração de rascunhos de PRAD, memoriais, ofícios)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Integração com Certificado Digital A1 para portais oficiais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Resultado: horas gastas com digitação e cruzamento manual de dados são reduzidas drasticamente.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Fase 3 — Inteligência Regulatória e Monitoramento (Meses 7 a 9)</w:t>
      </w:r>
    </w:p>
    <w:tbl>
      <w:tblPr>
        <w:tblW w:type="dxa" w:w="9426"/>
      </w:tblPr>
      <w:tblGrid>
        <w:gridCol w:w="7200"/>
        <w:gridCol w:w="2226"/>
      </w:tblGrid>
      <w:tr>
        <w:trPr>
          <w:tblHeader/>
        </w:trPr>
        <w:tc>
          <w:tcPr>
            <w:tcW w:type="dxa" w:w="7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2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Regulatório: pipeline RAG com pgvector sobre base de leis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Vigia: leitura de e-mails de órgãos, criação automática de tarefas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 Orquestrador: criação automática de workflow por tipo de caso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Módulo de condicionantes e recorrências pós-licença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de IA preditiva: prazo provável, risco de pendência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Integração com APIs de Data Brokers (Serpro, MapBiomas)</w:t>
            </w:r>
          </w:p>
        </w:tc>
        <w:tc>
          <w:tcPr>
            <w:tcW w:type="dxa" w:w="2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52B788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Resultado: o sistema completo opera como um segundo analista sênior, prevenindo perdas de prazo e acelerando a análise de pendências.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2A"/>
          <w:sz w:val="36"/>
          <w:szCs w:val="36"/>
        </w:rPr>
        <w:t xml:space="preserve">10. Estimativa de Custos Operacionais Mensais</w:t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Os custos abaixo são estimativas para operação inicial com 1 escritório (fase B2B). Valores em BRL, sujeitos à variação cambial para serviços em USD.</w:t>
      </w:r>
    </w:p>
    <w:p>
      <w:pPr>
        <w:spacing w:after="100"/>
      </w:pPr>
      <w:r>
        <w:t xml:space="preserve"/>
      </w:r>
    </w:p>
    <w:tbl>
      <w:tblPr>
        <w:tblW w:type="dxa" w:w="9426"/>
      </w:tblPr>
      <w:tblGrid>
        <w:gridCol w:w="3200"/>
        <w:gridCol w:w="34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4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2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4091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Mensal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Servidor Backend (VPS)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EC2 t3.medium ou equivalente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R$ 400 – R$ 700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RDS PostgreSQL ou instância gerenciada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R$ 300 – R$ 600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S3 ou Cloudflare R2 (50–200 GB)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R$ 80 – R$ 300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Fila e Cache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 (ElastiCache ou instância própria)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R$ 150 – R$ 300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Consumo de IA (Tokens)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Gemini 1.5 Pro / GPT-4o (volume variável)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R$ 500 – R$ 2.500+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OCR (Google Cloud Vision)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Pay-per-use (1.000 imagens ~ R$ 7,50)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R$ 50 – R$ 300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SES ou SendGrid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R$ 30 – R$ 100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APIs de Data Brokers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Serpro, BigDataCorp (pay-per-query)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R$ 100 – R$ 500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CDN Frontend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Cloudflare Pages ou Vercel</w:t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R$ 0 – R$ 100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R$ 1.610 – R$ 5.400 / mês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C4453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 consumo de tokens de IA é a maior variável. Auditar mensalmente o volume de documentos processados e repassar o custo de API como item separado na fatura do cliente é a estratégia mais segura para não absorver esse risco.</w:t>
      </w:r>
    </w:p>
    <w:p>
      <w:pPr>
        <w:spacing w:after="100"/>
      </w:pPr>
      <w:r>
        <w:t xml:space="preserve"/>
      </w:r>
    </w:p>
    <w:p>
      <w:pPr>
        <w:pBdr>
          <w:bottom w:val="single" w:color="52B788" w:sz="4" w:space="1"/>
        </w:pBdr>
        <w:spacing w:before="120" w:after="12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para a equipe de desenvolvimento  |  Versão 1.0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4" w:space="2"/>
      </w:pBdr>
      <w:tabs>
        <w:tab w:val="right" w:pos="8926"/>
      </w:tabs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da Equipe Técnica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2"/>
      </w:pBdr>
      <w:spacing w:after="0"/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PLATAFORMA DE GESTÃO E INTELIGÊNCIA REGULATÓRIA AMBIENTAL</w:t>
    </w:r>
    <w:r>
      <w:rPr>
        <w:rFonts w:ascii="Arial" w:cs="Arial" w:eastAsia="Arial" w:hAnsi="Arial"/>
        <w:color w:val="888888"/>
        <w:sz w:val="18"/>
        <w:szCs w:val="18"/>
      </w:rPr>
      <w:t xml:space="preserve">   |   Documento Técnico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2026-03-25T18:18:51.708Z</dcterms:created>
  <dcterms:modified xsi:type="dcterms:W3CDTF">2026-03-25T18:18:51.709Z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