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7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2"/>
        <w:gridCol w:w="970"/>
        <w:gridCol w:w="1038"/>
        <w:gridCol w:w="1457"/>
        <w:gridCol w:w="1567"/>
        <w:gridCol w:w="1216"/>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55" w:hRule="atLeast"/>
        </w:trPr>
        <w:tc>
          <w:tcPr>
            <w:tcW w:w="7785" w:type="dxa"/>
            <w:gridSpan w:val="7"/>
            <w:tcBorders>
              <w:top w:val="single" w:color="auto" w:sz="6" w:space="0"/>
              <w:left w:val="single" w:color="auto" w:sz="6" w:space="0"/>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ascii="微软雅黑" w:hAnsi="微软雅黑" w:eastAsia="微软雅黑" w:cs="微软雅黑"/>
                <w:b/>
                <w:i w:val="0"/>
                <w:caps w:val="0"/>
                <w:color w:val="3E3E3E"/>
                <w:spacing w:val="0"/>
                <w:sz w:val="31"/>
                <w:szCs w:val="31"/>
                <w:bdr w:val="none" w:color="auto" w:sz="0" w:space="0"/>
              </w:rPr>
              <w:t>有限责任公司股东四种退出机制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60" w:hRule="atLeast"/>
        </w:trPr>
        <w:tc>
          <w:tcPr>
            <w:tcW w:w="452" w:type="dxa"/>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keepNext w:val="0"/>
              <w:keepLines w:val="0"/>
              <w:widowControl/>
              <w:suppressLineNumbers w:val="0"/>
              <w:wordWrap w:val="0"/>
              <w:spacing w:before="0" w:beforeAutospacing="0" w:after="0" w:afterAutospacing="0" w:line="375" w:lineRule="atLeast"/>
              <w:ind w:left="0" w:right="0" w:firstLine="0"/>
              <w:jc w:val="left"/>
              <w:rPr>
                <w:rFonts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kern w:val="0"/>
                <w:sz w:val="24"/>
                <w:szCs w:val="24"/>
                <w:bdr w:val="none" w:color="auto" w:sz="0" w:space="0"/>
                <w:lang w:val="en-US" w:eastAsia="zh-CN" w:bidi="ar"/>
              </w:rPr>
              <w:br w:type="textWrapping"/>
            </w:r>
            <w:r>
              <w:rPr>
                <w:rFonts w:hint="default" w:ascii="Helvetica Neue" w:hAnsi="Helvetica Neue" w:eastAsia="Helvetica Neue" w:cs="Helvetica Neue"/>
                <w:b w:val="0"/>
                <w:i w:val="0"/>
                <w:caps w:val="0"/>
                <w:color w:val="3E3E3E"/>
                <w:spacing w:val="0"/>
                <w:kern w:val="0"/>
                <w:sz w:val="24"/>
                <w:szCs w:val="24"/>
                <w:bdr w:val="none" w:color="auto" w:sz="0" w:space="0"/>
                <w:lang w:val="en-US" w:eastAsia="zh-CN" w:bidi="ar"/>
              </w:rPr>
              <w:t> </w:t>
            </w:r>
          </w:p>
        </w:tc>
        <w:tc>
          <w:tcPr>
            <w:tcW w:w="2008" w:type="dxa"/>
            <w:gridSpan w:val="2"/>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24"/>
                <w:szCs w:val="24"/>
                <w:bdr w:val="none" w:color="auto" w:sz="0" w:space="0"/>
              </w:rPr>
              <w:t>1</w:t>
            </w:r>
            <w:r>
              <w:rPr>
                <w:rFonts w:hint="eastAsia" w:ascii="宋体" w:hAnsi="宋体" w:eastAsia="宋体" w:cs="宋体"/>
                <w:b/>
                <w:i w:val="0"/>
                <w:caps w:val="0"/>
                <w:color w:val="3E3E3E"/>
                <w:spacing w:val="0"/>
                <w:sz w:val="24"/>
                <w:szCs w:val="24"/>
                <w:bdr w:val="none" w:color="auto" w:sz="0" w:space="0"/>
              </w:rPr>
              <w:t>、</w:t>
            </w:r>
            <w:r>
              <w:rPr>
                <w:rFonts w:hint="eastAsia" w:ascii="微软雅黑" w:hAnsi="微软雅黑" w:eastAsia="微软雅黑" w:cs="微软雅黑"/>
                <w:b/>
                <w:i w:val="0"/>
                <w:caps w:val="0"/>
                <w:color w:val="3E3E3E"/>
                <w:spacing w:val="0"/>
                <w:sz w:val="24"/>
                <w:szCs w:val="24"/>
                <w:bdr w:val="none" w:color="auto" w:sz="0" w:space="0"/>
              </w:rPr>
              <w:t>股权转让</w:t>
            </w:r>
          </w:p>
        </w:tc>
        <w:tc>
          <w:tcPr>
            <w:tcW w:w="1457" w:type="dxa"/>
            <w:vMerge w:val="restart"/>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24"/>
                <w:szCs w:val="24"/>
                <w:bdr w:val="none" w:color="auto" w:sz="0" w:space="0"/>
              </w:rPr>
              <w:t>2</w:t>
            </w:r>
            <w:r>
              <w:rPr>
                <w:rFonts w:hint="eastAsia" w:ascii="宋体" w:hAnsi="宋体" w:eastAsia="宋体" w:cs="宋体"/>
                <w:b/>
                <w:i w:val="0"/>
                <w:caps w:val="0"/>
                <w:color w:val="3E3E3E"/>
                <w:spacing w:val="0"/>
                <w:sz w:val="24"/>
                <w:szCs w:val="24"/>
                <w:bdr w:val="none" w:color="auto" w:sz="0" w:space="0"/>
              </w:rPr>
              <w:t>、</w:t>
            </w:r>
            <w:r>
              <w:rPr>
                <w:rFonts w:hint="eastAsia" w:ascii="微软雅黑" w:hAnsi="微软雅黑" w:eastAsia="微软雅黑" w:cs="微软雅黑"/>
                <w:b/>
                <w:i w:val="0"/>
                <w:caps w:val="0"/>
                <w:color w:val="3E3E3E"/>
                <w:spacing w:val="0"/>
                <w:sz w:val="24"/>
                <w:szCs w:val="24"/>
                <w:bdr w:val="none" w:color="auto" w:sz="0" w:space="0"/>
              </w:rPr>
              <w:t>公司减资</w:t>
            </w:r>
          </w:p>
        </w:tc>
        <w:tc>
          <w:tcPr>
            <w:tcW w:w="1567" w:type="dxa"/>
            <w:vMerge w:val="restart"/>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24"/>
                <w:szCs w:val="24"/>
                <w:bdr w:val="none" w:color="auto" w:sz="0" w:space="0"/>
              </w:rPr>
              <w:t>3</w:t>
            </w:r>
            <w:r>
              <w:rPr>
                <w:rFonts w:hint="eastAsia" w:ascii="宋体" w:hAnsi="宋体" w:eastAsia="宋体" w:cs="宋体"/>
                <w:b/>
                <w:i w:val="0"/>
                <w:caps w:val="0"/>
                <w:color w:val="3E3E3E"/>
                <w:spacing w:val="0"/>
                <w:sz w:val="24"/>
                <w:szCs w:val="24"/>
                <w:bdr w:val="none" w:color="auto" w:sz="0" w:space="0"/>
              </w:rPr>
              <w:t>、异议股东股权回购</w:t>
            </w:r>
          </w:p>
        </w:tc>
        <w:tc>
          <w:tcPr>
            <w:tcW w:w="2301" w:type="dxa"/>
            <w:gridSpan w:val="2"/>
            <w:tcBorders>
              <w:top w:val="single" w:color="auto" w:sz="6" w:space="0"/>
              <w:left w:val="nil"/>
              <w:bottom w:val="nil"/>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24"/>
                <w:szCs w:val="24"/>
                <w:bdr w:val="none" w:color="auto" w:sz="0" w:space="0"/>
              </w:rPr>
              <w:t>4</w:t>
            </w:r>
            <w:r>
              <w:rPr>
                <w:rFonts w:hint="eastAsia" w:ascii="宋体" w:hAnsi="宋体" w:eastAsia="宋体" w:cs="宋体"/>
                <w:b/>
                <w:i w:val="0"/>
                <w:caps w:val="0"/>
                <w:color w:val="3E3E3E"/>
                <w:spacing w:val="0"/>
                <w:sz w:val="24"/>
                <w:szCs w:val="24"/>
                <w:bdr w:val="none" w:color="auto" w:sz="0" w:space="0"/>
              </w:rPr>
              <w:t>、</w:t>
            </w:r>
            <w:r>
              <w:rPr>
                <w:rFonts w:hint="eastAsia" w:ascii="微软雅黑" w:hAnsi="微软雅黑" w:eastAsia="微软雅黑" w:cs="微软雅黑"/>
                <w:b/>
                <w:i w:val="0"/>
                <w:caps w:val="0"/>
                <w:color w:val="3E3E3E"/>
                <w:spacing w:val="0"/>
                <w:sz w:val="24"/>
                <w:szCs w:val="24"/>
                <w:bdr w:val="none" w:color="auto" w:sz="0" w:space="0"/>
              </w:rPr>
              <w:t>司法解散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2" w:type="dxa"/>
            <w:tcBorders>
              <w:top w:val="nil"/>
              <w:left w:val="single" w:color="auto" w:sz="6" w:space="0"/>
              <w:bottom w:val="single" w:color="auto" w:sz="6" w:space="0"/>
              <w:right w:val="single" w:color="auto" w:sz="6" w:space="0"/>
            </w:tcBorders>
            <w:shd w:val="clear" w:color="auto" w:fill="FFFFFF"/>
            <w:tcMar>
              <w:left w:w="105" w:type="dxa"/>
              <w:right w:w="105" w:type="dxa"/>
            </w:tcMar>
            <w:vAlign w:val="top"/>
          </w:tcPr>
          <w:p>
            <w:pPr>
              <w:keepNext w:val="0"/>
              <w:keepLines w:val="0"/>
              <w:widowControl/>
              <w:suppressLineNumbers w:val="0"/>
              <w:wordWrap w:val="0"/>
              <w:spacing w:before="0" w:beforeAutospacing="0" w:after="0" w:afterAutospacing="0" w:line="375"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kern w:val="0"/>
                <w:sz w:val="24"/>
                <w:szCs w:val="24"/>
                <w:bdr w:val="none" w:color="auto" w:sz="0" w:space="0"/>
                <w:lang w:val="en-US" w:eastAsia="zh-CN" w:bidi="ar"/>
              </w:rPr>
              <w:br w:type="textWrapping"/>
            </w:r>
            <w:r>
              <w:rPr>
                <w:rFonts w:hint="default" w:ascii="Helvetica Neue" w:hAnsi="Helvetica Neue" w:eastAsia="Helvetica Neue" w:cs="Helvetica Neue"/>
                <w:b w:val="0"/>
                <w:i w:val="0"/>
                <w:caps w:val="0"/>
                <w:color w:val="3E3E3E"/>
                <w:spacing w:val="0"/>
                <w:kern w:val="0"/>
                <w:sz w:val="24"/>
                <w:szCs w:val="24"/>
                <w:bdr w:val="none" w:color="auto" w:sz="0" w:space="0"/>
                <w:lang w:val="en-US" w:eastAsia="zh-CN" w:bidi="ar"/>
              </w:rPr>
              <w:t> </w:t>
            </w:r>
          </w:p>
        </w:tc>
        <w:tc>
          <w:tcPr>
            <w:tcW w:w="970"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18"/>
                <w:szCs w:val="18"/>
                <w:bdr w:val="none" w:color="auto" w:sz="0" w:space="0"/>
              </w:rPr>
              <w:t>股权内部转让</w:t>
            </w:r>
          </w:p>
        </w:tc>
        <w:tc>
          <w:tcPr>
            <w:tcW w:w="1038"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18"/>
                <w:szCs w:val="18"/>
                <w:bdr w:val="none" w:color="auto" w:sz="0" w:space="0"/>
              </w:rPr>
              <w:t>股权外部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18"/>
                <w:szCs w:val="18"/>
                <w:bdr w:val="none" w:color="auto" w:sz="0" w:space="0"/>
              </w:rPr>
              <w:t>转让</w:t>
            </w:r>
          </w:p>
        </w:tc>
        <w:tc>
          <w:tcPr>
            <w:tcW w:w="1457" w:type="dxa"/>
            <w:vMerge w:val="continue"/>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rPr>
                <w:rFonts w:hint="default" w:ascii="Helvetica Neue" w:hAnsi="Helvetica Neue" w:eastAsia="Helvetica Neue" w:cs="Helvetica Neue"/>
                <w:b w:val="0"/>
                <w:i w:val="0"/>
                <w:caps w:val="0"/>
                <w:color w:val="3E3E3E"/>
                <w:spacing w:val="0"/>
                <w:sz w:val="24"/>
                <w:szCs w:val="24"/>
              </w:rPr>
            </w:pPr>
          </w:p>
        </w:tc>
        <w:tc>
          <w:tcPr>
            <w:tcW w:w="1567" w:type="dxa"/>
            <w:vMerge w:val="continue"/>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rPr>
                <w:rFonts w:hint="default" w:ascii="Helvetica Neue" w:hAnsi="Helvetica Neue" w:eastAsia="Helvetica Neue" w:cs="Helvetica Neue"/>
                <w:b w:val="0"/>
                <w:i w:val="0"/>
                <w:caps w:val="0"/>
                <w:color w:val="3E3E3E"/>
                <w:spacing w:val="0"/>
                <w:sz w:val="24"/>
                <w:szCs w:val="24"/>
              </w:rPr>
            </w:pPr>
          </w:p>
        </w:tc>
        <w:tc>
          <w:tcPr>
            <w:tcW w:w="1216" w:type="dxa"/>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18"/>
                <w:szCs w:val="18"/>
                <w:bdr w:val="none" w:color="auto" w:sz="0" w:space="0"/>
              </w:rPr>
              <w:t>法定解散</w:t>
            </w:r>
          </w:p>
        </w:tc>
        <w:tc>
          <w:tcPr>
            <w:tcW w:w="1085" w:type="dxa"/>
            <w:tcBorders>
              <w:top w:val="single" w:color="auto" w:sz="6" w:space="0"/>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jc w:val="center"/>
              <w:rPr>
                <w:i w:val="0"/>
              </w:rPr>
            </w:pPr>
            <w:r>
              <w:rPr>
                <w:rFonts w:hint="eastAsia" w:ascii="微软雅黑" w:hAnsi="微软雅黑" w:eastAsia="微软雅黑" w:cs="微软雅黑"/>
                <w:b/>
                <w:i w:val="0"/>
                <w:caps w:val="0"/>
                <w:color w:val="3E3E3E"/>
                <w:spacing w:val="0"/>
                <w:sz w:val="18"/>
                <w:szCs w:val="18"/>
                <w:bdr w:val="none" w:color="auto" w:sz="0" w:space="0"/>
              </w:rPr>
              <w:t>起诉解散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2"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rPr>
                <w:i w:val="0"/>
              </w:rPr>
            </w:pPr>
            <w:r>
              <w:rPr>
                <w:rFonts w:hint="eastAsia" w:ascii="微软雅黑" w:hAnsi="微软雅黑" w:eastAsia="微软雅黑" w:cs="微软雅黑"/>
                <w:b/>
                <w:i w:val="0"/>
                <w:caps w:val="0"/>
                <w:color w:val="3E3E3E"/>
                <w:spacing w:val="0"/>
                <w:sz w:val="24"/>
                <w:szCs w:val="24"/>
                <w:bdr w:val="none" w:color="auto" w:sz="0" w:space="0"/>
              </w:rPr>
              <w:t>︽公司法︾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i w:val="0"/>
                <w:caps w:val="0"/>
                <w:color w:val="3E3E3E"/>
                <w:spacing w:val="0"/>
                <w:sz w:val="24"/>
                <w:szCs w:val="24"/>
                <w:bdr w:val="none" w:color="auto" w:sz="0" w:space="0"/>
              </w:rPr>
              <w:t>规定</w:t>
            </w:r>
          </w:p>
        </w:tc>
        <w:tc>
          <w:tcPr>
            <w:tcW w:w="970"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第七十一条第一款规定：有限责任公司的股东之间可以相互转让其全部或者部分股权。</w:t>
            </w:r>
          </w:p>
        </w:tc>
        <w:tc>
          <w:tcPr>
            <w:tcW w:w="1038"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第七十一条第二款规定：股</w:t>
            </w:r>
            <w:bookmarkStart w:id="0" w:name="_GoBack"/>
            <w:bookmarkEnd w:id="0"/>
            <w:r>
              <w:rPr>
                <w:rFonts w:hint="eastAsia" w:ascii="微软雅黑" w:hAnsi="微软雅黑" w:eastAsia="微软雅黑" w:cs="微软雅黑"/>
                <w:b w:val="0"/>
                <w:i w:val="0"/>
                <w:caps w:val="0"/>
                <w:color w:val="3E3E3E"/>
                <w:spacing w:val="0"/>
                <w:sz w:val="21"/>
                <w:szCs w:val="21"/>
                <w:bdr w:val="none" w:color="auto" w:sz="0" w:space="0"/>
              </w:rPr>
              <w:t>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经股东同意转让的股权，在同等条件下，其他股东有优先购买权。</w:t>
            </w:r>
          </w:p>
        </w:tc>
        <w:tc>
          <w:tcPr>
            <w:tcW w:w="1457"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第一百七十七条规定：公司需要减少注册资本时，必须编制资产负债表及财产清单。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tc>
        <w:tc>
          <w:tcPr>
            <w:tcW w:w="1567"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第七十四条规定：有下列情形之一的，对股东会该项决议投反对票的股东可以请求公司按照合理的价格收购其股权：（一）公司连续五年不向股东分配利润，而公司该五年连续盈利，并且符合本法规定的分配利润条件的；（二）公司合并、分立、转让主要财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（三）公司章程规定的营业期限届满或者章程规定的其他解散事由出现，股东会会议通过决议修改章程使公司存续的。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自股东会会议决议通过之日起六十日内，股东与公司不能达成股权收购协议的，股东可以自股东会会议决议通过之日起九十日内向人民法院提起诉讼。</w:t>
            </w:r>
          </w:p>
        </w:tc>
        <w:tc>
          <w:tcPr>
            <w:tcW w:w="1216"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第一百八十条规定：公司因下列原因解散：（一）公司章程规定的营业期限届满或者公司章程规定的其他解散事由出现；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（二）股东会或者股东大会决议解散；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（三）因公司合并或者分立需要解散；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（四）依法被吊销营业执照、责令关闭或者被撤销；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（五）人民法院依照本法第一百八十二条的规定予以解散。</w:t>
            </w:r>
          </w:p>
        </w:tc>
        <w:tc>
          <w:tcPr>
            <w:tcW w:w="1085" w:type="dxa"/>
            <w:tcBorders>
              <w:top w:val="nil"/>
              <w:left w:val="nil"/>
              <w:bottom w:val="single" w:color="auto" w:sz="6" w:space="0"/>
              <w:right w:val="single" w:color="auto" w:sz="6" w:space="0"/>
            </w:tcBorders>
            <w:shd w:val="clear" w:color="auto" w:fill="FFFFFF"/>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第一百八十二条规定：公司经营管理发生严重困难，继续存续会使股东利益受到重大损失，通过其他途径不能解决的，持有公司全部股东表决权百分之十以上的股东，可以请求人民法院解散公司。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710" w:hRule="atLeast"/>
        </w:trPr>
        <w:tc>
          <w:tcPr>
            <w:tcW w:w="452"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rPr>
                <w:i w:val="0"/>
              </w:rPr>
            </w:pPr>
            <w:r>
              <w:rPr>
                <w:rFonts w:hint="eastAsia" w:ascii="微软雅黑" w:hAnsi="微软雅黑" w:eastAsia="微软雅黑" w:cs="微软雅黑"/>
                <w:b/>
                <w:i w:val="0"/>
                <w:caps w:val="0"/>
                <w:color w:val="3E3E3E"/>
                <w:spacing w:val="0"/>
                <w:sz w:val="24"/>
                <w:szCs w:val="24"/>
                <w:bdr w:val="none" w:color="auto" w:sz="0" w:space="0"/>
              </w:rPr>
              <w:t>流程</w:t>
            </w:r>
          </w:p>
        </w:tc>
        <w:tc>
          <w:tcPr>
            <w:tcW w:w="2008"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转让双方协商→征求其他股东是否行使优先受让权的意见（对外转让中）→签订股转协议→办理变更、登记手续</w:t>
            </w:r>
          </w:p>
        </w:tc>
        <w:tc>
          <w:tcPr>
            <w:tcW w:w="1457"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2/3以上股东表决权通过→修改公司章程→编制资产负债表→通知、公告债权人→债权人保护程序→变更登记</w:t>
            </w:r>
          </w:p>
        </w:tc>
        <w:tc>
          <w:tcPr>
            <w:tcW w:w="1567"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就股权回购事宜进行协商→向法院提起诉讼（协商不成的情况下）→确定股权回购价格→实施股权回购→依法申请减少注册资本的登记</w:t>
            </w:r>
          </w:p>
        </w:tc>
        <w:tc>
          <w:tcPr>
            <w:tcW w:w="2301"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成立清算组→清理公司财产、编制资产负债表、财产清单→通知、公告债权人→实施清算方案→制作清算报告→注销公司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2"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rPr>
                <w:i w:val="0"/>
              </w:rPr>
            </w:pPr>
            <w:r>
              <w:rPr>
                <w:rFonts w:hint="eastAsia" w:ascii="微软雅黑" w:hAnsi="微软雅黑" w:eastAsia="微软雅黑" w:cs="微软雅黑"/>
                <w:b/>
                <w:i w:val="0"/>
                <w:caps w:val="0"/>
                <w:color w:val="3E3E3E"/>
                <w:spacing w:val="0"/>
                <w:sz w:val="24"/>
                <w:szCs w:val="24"/>
                <w:bdr w:val="none" w:color="auto" w:sz="0" w:space="0"/>
              </w:rPr>
              <w:t>利</w:t>
            </w:r>
          </w:p>
        </w:tc>
        <w:tc>
          <w:tcPr>
            <w:tcW w:w="2008"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（1）便捷、成本较低；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（2）自由协商的股权转让价格更贴合退出股东的心理预期。</w:t>
            </w:r>
          </w:p>
        </w:tc>
        <w:tc>
          <w:tcPr>
            <w:tcW w:w="1457"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（1）有利于维系公司的人合性；（2）可有效避免国有股权转让的繁琐程序。</w:t>
            </w:r>
          </w:p>
        </w:tc>
        <w:tc>
          <w:tcPr>
            <w:tcW w:w="1567"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（1）能有效制约公司大股东滥用权利；（2）在保护中小股东权益的同时又兼顾了公司的经营运作。</w:t>
            </w:r>
          </w:p>
        </w:tc>
        <w:tc>
          <w:tcPr>
            <w:tcW w:w="2301"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能有效打破公司僵局，实现公司股东强烈要求退股的愿望。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2" w:type="dxa"/>
            <w:tcBorders>
              <w:top w:val="nil"/>
              <w:left w:val="single" w:color="auto" w:sz="6" w:space="0"/>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center"/>
              <w:rPr>
                <w:i w:val="0"/>
              </w:rPr>
            </w:pPr>
            <w:r>
              <w:rPr>
                <w:rFonts w:hint="eastAsia" w:ascii="微软雅黑" w:hAnsi="微软雅黑" w:eastAsia="微软雅黑" w:cs="微软雅黑"/>
                <w:b/>
                <w:i w:val="0"/>
                <w:caps w:val="0"/>
                <w:color w:val="3E3E3E"/>
                <w:spacing w:val="0"/>
                <w:sz w:val="24"/>
                <w:szCs w:val="24"/>
                <w:bdr w:val="none" w:color="auto" w:sz="0" w:space="0"/>
              </w:rPr>
              <w:t>弊</w:t>
            </w:r>
          </w:p>
        </w:tc>
        <w:tc>
          <w:tcPr>
            <w:tcW w:w="2008"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公司法未对其他股东行使优先受让权相关的“期限”及“同等条件”作合理界定，在其他股东故意刁难时，不利于股权的合理、有效转让。</w:t>
            </w:r>
          </w:p>
        </w:tc>
        <w:tc>
          <w:tcPr>
            <w:tcW w:w="1457"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（1）减资要求2/3以上股东表决权通过，需要争取其他股东的配合；（2）减资程序周期长，且减资后对公司经营存在一定影响。</w:t>
            </w:r>
          </w:p>
        </w:tc>
        <w:tc>
          <w:tcPr>
            <w:tcW w:w="1567" w:type="dxa"/>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股权回购价格往往由公司操纵，不公平的定价有损退出股东的利益。</w:t>
            </w:r>
          </w:p>
        </w:tc>
        <w:tc>
          <w:tcPr>
            <w:tcW w:w="2301" w:type="dxa"/>
            <w:gridSpan w:val="2"/>
            <w:tcBorders>
              <w:top w:val="nil"/>
              <w:left w:val="nil"/>
              <w:bottom w:val="single" w:color="auto" w:sz="6" w:space="0"/>
              <w:right w:val="single" w:color="auto" w:sz="6" w:space="0"/>
            </w:tcBorders>
            <w:shd w:val="clear" w:color="auto" w:fill="FFFFFF"/>
            <w:tcMar>
              <w:left w:w="105" w:type="dxa"/>
              <w:right w:w="105"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（1）彻底破坏公司经营，可能会使股东之间矛盾激化；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（2）退出股东利益因公司清算等问题不具确定性；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jc w:val="both"/>
              <w:rPr>
                <w:i w:val="0"/>
              </w:rPr>
            </w:pPr>
            <w:r>
              <w:rPr>
                <w:rFonts w:hint="eastAsia" w:ascii="微软雅黑" w:hAnsi="微软雅黑" w:eastAsia="微软雅黑" w:cs="微软雅黑"/>
                <w:b w:val="0"/>
                <w:i w:val="0"/>
                <w:caps w:val="0"/>
                <w:color w:val="3E3E3E"/>
                <w:spacing w:val="0"/>
                <w:sz w:val="21"/>
                <w:szCs w:val="21"/>
                <w:bdr w:val="none" w:color="auto" w:sz="0" w:space="0"/>
              </w:rPr>
              <w:t>（3）程序复杂、时间长，退股成本相对较高。</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F3A14"/>
    <w:rsid w:val="289F3A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2016-11-18T02:12:00Z</dcterms:created>
  <dc:creator>农银租赁李鹏飞</dc:creator>
  <cp:lastModifiedBy>农银租赁李鹏飞</cp:lastModifiedBy>
  <dcterms:modified xsi:type="dcterms:W3CDTF">2016-11-18T02:16:14Z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