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广州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eastAsia="zh-CN"/>
        </w:rPr>
        <w:t>***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酒业有限公司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股东增资协议书</w:t>
      </w:r>
    </w:p>
    <w:p>
      <w:pPr>
        <w:jc w:val="left"/>
        <w:rPr>
          <w:sz w:val="24"/>
        </w:rPr>
      </w:pPr>
    </w:p>
    <w:p>
      <w:pPr>
        <w:jc w:val="left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甲方：广州</w:t>
      </w:r>
      <w:r>
        <w:rPr>
          <w:rFonts w:hint="eastAsia" w:ascii="宋体" w:hAnsi="宋体"/>
          <w:b/>
          <w:sz w:val="28"/>
          <w:szCs w:val="28"/>
          <w:lang w:eastAsia="zh-CN"/>
        </w:rPr>
        <w:t>***</w:t>
      </w:r>
      <w:r>
        <w:rPr>
          <w:rFonts w:hint="eastAsia" w:ascii="宋体" w:hAnsi="宋体" w:eastAsia="宋体"/>
          <w:b/>
          <w:sz w:val="28"/>
          <w:szCs w:val="28"/>
        </w:rPr>
        <w:t xml:space="preserve">酒业有限公司   </w:t>
      </w:r>
    </w:p>
    <w:p>
      <w:pPr>
        <w:jc w:val="left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注册证号：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               </w:t>
      </w:r>
      <w:r>
        <w:rPr>
          <w:rFonts w:hint="eastAsia" w:ascii="宋体" w:hAnsi="宋体" w:eastAsia="宋体"/>
          <w:b/>
          <w:sz w:val="28"/>
          <w:szCs w:val="28"/>
        </w:rPr>
        <w:t xml:space="preserve">     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法定代表人：</w:t>
      </w:r>
      <w:r>
        <w:rPr>
          <w:rFonts w:hint="eastAsia" w:ascii="宋体" w:hAnsi="宋体"/>
          <w:b/>
          <w:sz w:val="28"/>
          <w:szCs w:val="28"/>
          <w:lang w:eastAsia="zh-CN"/>
        </w:rPr>
        <w:t>***</w:t>
      </w:r>
      <w:r>
        <w:rPr>
          <w:rFonts w:hint="eastAsia" w:ascii="宋体" w:hAnsi="宋体" w:eastAsia="宋体"/>
          <w:b/>
          <w:sz w:val="28"/>
          <w:szCs w:val="28"/>
        </w:rPr>
        <w:t xml:space="preserve">     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</w:p>
    <w:p>
      <w:pPr>
        <w:jc w:val="left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 xml:space="preserve">乙方： </w:t>
      </w:r>
      <w:r>
        <w:rPr>
          <w:rFonts w:hint="eastAsia" w:ascii="宋体" w:hAnsi="宋体"/>
          <w:b/>
          <w:sz w:val="28"/>
          <w:szCs w:val="28"/>
          <w:lang w:eastAsia="zh-CN"/>
        </w:rPr>
        <w:t>股东A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身份证号：</w:t>
      </w:r>
      <w:r>
        <w:rPr>
          <w:rFonts w:hint="eastAsia" w:ascii="宋体" w:hAnsi="宋体" w:eastAsia="宋体"/>
          <w:b/>
          <w:sz w:val="28"/>
          <w:szCs w:val="28"/>
          <w:u w:val="single"/>
        </w:rPr>
        <w:t xml:space="preserve">             _____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公司简介</w:t>
      </w:r>
    </w:p>
    <w:p>
      <w:pPr>
        <w:numPr>
          <w:ilvl w:val="0"/>
          <w:numId w:val="2"/>
        </w:numPr>
        <w:ind w:left="141" w:leftChars="67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广州</w:t>
      </w:r>
      <w:r>
        <w:rPr>
          <w:rFonts w:hint="eastAsia" w:ascii="楷体" w:hAnsi="楷体" w:eastAsia="楷体"/>
          <w:sz w:val="28"/>
          <w:szCs w:val="28"/>
          <w:lang w:eastAsia="zh-CN"/>
        </w:rPr>
        <w:t>***</w:t>
      </w:r>
      <w:r>
        <w:rPr>
          <w:rFonts w:hint="eastAsia" w:ascii="楷体" w:hAnsi="楷体" w:eastAsia="楷体"/>
          <w:sz w:val="28"/>
          <w:szCs w:val="28"/>
        </w:rPr>
        <w:t>酒业有限公司（以下简称公司），2009年12月成立，注册资本</w:t>
      </w:r>
      <w:r>
        <w:rPr>
          <w:rFonts w:hint="eastAsia" w:ascii="楷体" w:hAnsi="楷体" w:eastAsia="楷体"/>
          <w:sz w:val="28"/>
          <w:szCs w:val="28"/>
          <w:u w:val="single"/>
        </w:rPr>
        <w:t>1200</w:t>
      </w:r>
      <w:r>
        <w:rPr>
          <w:rFonts w:hint="eastAsia" w:ascii="楷体" w:hAnsi="楷体" w:eastAsia="楷体"/>
          <w:sz w:val="28"/>
          <w:szCs w:val="28"/>
        </w:rPr>
        <w:t>万元，实收资本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1200  </w:t>
      </w:r>
      <w:r>
        <w:rPr>
          <w:rFonts w:hint="eastAsia" w:ascii="楷体" w:hAnsi="楷体" w:eastAsia="楷体"/>
          <w:sz w:val="28"/>
          <w:szCs w:val="28"/>
        </w:rPr>
        <w:t>万，由创始股东</w:t>
      </w:r>
      <w:r>
        <w:rPr>
          <w:rFonts w:hint="eastAsia" w:ascii="楷体" w:hAnsi="楷体" w:eastAsia="楷体"/>
          <w:sz w:val="28"/>
          <w:szCs w:val="28"/>
          <w:lang w:eastAsia="zh-CN"/>
        </w:rPr>
        <w:t>***</w:t>
      </w:r>
      <w:r>
        <w:rPr>
          <w:rFonts w:hint="eastAsia" w:ascii="楷体" w:hAnsi="楷体" w:eastAsia="楷体"/>
          <w:sz w:val="28"/>
          <w:szCs w:val="28"/>
        </w:rPr>
        <w:t>与</w:t>
      </w:r>
      <w:r>
        <w:rPr>
          <w:rFonts w:hint="eastAsia" w:ascii="楷体" w:hAnsi="楷体" w:eastAsia="楷体"/>
          <w:sz w:val="28"/>
          <w:szCs w:val="28"/>
          <w:lang w:eastAsia="zh-CN"/>
        </w:rPr>
        <w:t>股东B</w:t>
      </w:r>
      <w:r>
        <w:rPr>
          <w:rFonts w:hint="eastAsia" w:ascii="楷体" w:hAnsi="楷体" w:eastAsia="楷体"/>
          <w:sz w:val="28"/>
          <w:szCs w:val="28"/>
        </w:rPr>
        <w:t>共同投资组建，总股本1200万股，其中股权结构如下表所示：</w:t>
      </w:r>
    </w:p>
    <w:tbl>
      <w:tblPr>
        <w:tblStyle w:val="5"/>
        <w:tblW w:w="8522" w:type="dxa"/>
        <w:jc w:val="center"/>
        <w:tblInd w:w="0" w:type="dxa"/>
        <w:tblBorders>
          <w:top w:val="dotted" w:color="auto" w:sz="4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1"/>
        <w:gridCol w:w="2131"/>
      </w:tblGrid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  <w:jc w:val="center"/>
        </w:trPr>
        <w:tc>
          <w:tcPr>
            <w:tcW w:w="2129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股东姓名</w:t>
            </w:r>
          </w:p>
        </w:tc>
        <w:tc>
          <w:tcPr>
            <w:tcW w:w="2131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出资金额（万元）</w:t>
            </w:r>
          </w:p>
        </w:tc>
        <w:tc>
          <w:tcPr>
            <w:tcW w:w="2131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出资方式</w:t>
            </w:r>
          </w:p>
        </w:tc>
        <w:tc>
          <w:tcPr>
            <w:tcW w:w="2131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持股比例（%）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exact"/>
          <w:jc w:val="center"/>
        </w:trPr>
        <w:tc>
          <w:tcPr>
            <w:tcW w:w="212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 w:val="24"/>
                <w:lang w:eastAsia="zh-CN"/>
              </w:rPr>
              <w:t>***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840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货币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70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exact"/>
          <w:jc w:val="center"/>
        </w:trPr>
        <w:tc>
          <w:tcPr>
            <w:tcW w:w="2129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 w:val="24"/>
                <w:lang w:eastAsia="zh-CN"/>
              </w:rPr>
              <w:t>股东B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360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货币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30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  <w:jc w:val="center"/>
        </w:trPr>
        <w:tc>
          <w:tcPr>
            <w:tcW w:w="2129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合计</w:t>
            </w:r>
          </w:p>
        </w:tc>
        <w:tc>
          <w:tcPr>
            <w:tcW w:w="213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1200</w:t>
            </w:r>
          </w:p>
        </w:tc>
        <w:tc>
          <w:tcPr>
            <w:tcW w:w="213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zh-CN"/>
              </w:rPr>
              <w:t>货币</w:t>
            </w:r>
          </w:p>
        </w:tc>
        <w:tc>
          <w:tcPr>
            <w:tcW w:w="2131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100</w:t>
            </w:r>
          </w:p>
        </w:tc>
      </w:tr>
    </w:tbl>
    <w:p>
      <w:pPr>
        <w:ind w:firstLine="563" w:firstLineChars="201"/>
        <w:rPr>
          <w:rFonts w:ascii="楷体" w:hAnsi="楷体" w:eastAsia="楷体"/>
          <w:sz w:val="28"/>
          <w:szCs w:val="28"/>
        </w:rPr>
      </w:pPr>
    </w:p>
    <w:p>
      <w:pPr>
        <w:numPr>
          <w:ilvl w:val="0"/>
          <w:numId w:val="3"/>
        </w:num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、关于股东增资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2014年6月1日，公司实行第一轮增资：向机构投资人或合格投资人增发90万股，增资前公司总股本为1200万股，增资后公司总股本为1290万股，每股定价为人民币1元，拟新增股东3人，</w:t>
      </w:r>
      <w:r>
        <w:rPr>
          <w:rFonts w:hint="eastAsia" w:ascii="楷体" w:hAnsi="楷体" w:eastAsia="楷体" w:cs="楷体"/>
          <w:sz w:val="28"/>
          <w:szCs w:val="28"/>
          <w:highlight w:val="red"/>
        </w:rPr>
        <w:t>分别由乙方与</w:t>
      </w:r>
      <w:r>
        <w:rPr>
          <w:rFonts w:hint="eastAsia" w:ascii="楷体" w:hAnsi="楷体" w:eastAsia="楷体" w:cs="楷体"/>
          <w:sz w:val="28"/>
          <w:szCs w:val="28"/>
          <w:highlight w:val="red"/>
          <w:lang w:eastAsia="zh-CN"/>
        </w:rPr>
        <w:t>股东C</w:t>
      </w:r>
      <w:r>
        <w:rPr>
          <w:rFonts w:hint="eastAsia" w:ascii="楷体" w:hAnsi="楷体" w:eastAsia="楷体" w:cs="楷体"/>
          <w:sz w:val="28"/>
          <w:szCs w:val="28"/>
          <w:highlight w:val="red"/>
        </w:rPr>
        <w:t>、股东A进行增资,</w:t>
      </w:r>
      <w:r>
        <w:rPr>
          <w:rFonts w:hint="eastAsia" w:ascii="楷体" w:hAnsi="楷体" w:eastAsia="楷体" w:cs="楷体"/>
          <w:sz w:val="28"/>
          <w:szCs w:val="28"/>
        </w:rPr>
        <w:t>增资后股东持股比例分别为下表所示：</w:t>
      </w:r>
    </w:p>
    <w:tbl>
      <w:tblPr>
        <w:tblStyle w:val="5"/>
        <w:tblW w:w="8531" w:type="dxa"/>
        <w:jc w:val="center"/>
        <w:tblInd w:w="0" w:type="dxa"/>
        <w:tblBorders>
          <w:top w:val="dotted" w:color="auto" w:sz="4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68"/>
        <w:gridCol w:w="2168"/>
        <w:gridCol w:w="2063"/>
      </w:tblGrid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  <w:jc w:val="center"/>
        </w:trPr>
        <w:tc>
          <w:tcPr>
            <w:tcW w:w="2132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股东姓名</w:t>
            </w:r>
          </w:p>
        </w:tc>
        <w:tc>
          <w:tcPr>
            <w:tcW w:w="2168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出资金额（万元）</w:t>
            </w:r>
          </w:p>
        </w:tc>
        <w:tc>
          <w:tcPr>
            <w:tcW w:w="2168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出资方式</w:t>
            </w:r>
          </w:p>
        </w:tc>
        <w:tc>
          <w:tcPr>
            <w:tcW w:w="2063" w:type="dxa"/>
            <w:shd w:val="pct10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持股比例（%）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exact"/>
          <w:jc w:val="center"/>
        </w:trPr>
        <w:tc>
          <w:tcPr>
            <w:tcW w:w="213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 w:val="24"/>
                <w:lang w:eastAsia="zh-CN"/>
              </w:rPr>
              <w:t>***</w:t>
            </w:r>
          </w:p>
        </w:tc>
        <w:tc>
          <w:tcPr>
            <w:tcW w:w="21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840</w:t>
            </w:r>
          </w:p>
        </w:tc>
        <w:tc>
          <w:tcPr>
            <w:tcW w:w="21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货币</w:t>
            </w:r>
          </w:p>
        </w:tc>
        <w:tc>
          <w:tcPr>
            <w:tcW w:w="206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65.116279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exact"/>
          <w:jc w:val="center"/>
        </w:trPr>
        <w:tc>
          <w:tcPr>
            <w:tcW w:w="213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 w:val="24"/>
                <w:lang w:eastAsia="zh-CN"/>
              </w:rPr>
              <w:t>股东B</w:t>
            </w:r>
          </w:p>
        </w:tc>
        <w:tc>
          <w:tcPr>
            <w:tcW w:w="21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360</w:t>
            </w:r>
          </w:p>
        </w:tc>
        <w:tc>
          <w:tcPr>
            <w:tcW w:w="21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货币</w:t>
            </w:r>
          </w:p>
        </w:tc>
        <w:tc>
          <w:tcPr>
            <w:tcW w:w="206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27.906977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exact"/>
          <w:jc w:val="center"/>
        </w:trPr>
        <w:tc>
          <w:tcPr>
            <w:tcW w:w="213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Calibri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sz w:val="24"/>
                <w:lang w:eastAsia="zh-CN"/>
              </w:rPr>
              <w:t>股东C</w:t>
            </w:r>
          </w:p>
        </w:tc>
        <w:tc>
          <w:tcPr>
            <w:tcW w:w="21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30</w:t>
            </w:r>
          </w:p>
        </w:tc>
        <w:tc>
          <w:tcPr>
            <w:tcW w:w="2168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货币</w:t>
            </w:r>
          </w:p>
        </w:tc>
        <w:tc>
          <w:tcPr>
            <w:tcW w:w="2063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2.325581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  <w:jc w:val="center"/>
        </w:trPr>
        <w:tc>
          <w:tcPr>
            <w:tcW w:w="213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  <w:lang w:eastAsia="zh-CN"/>
              </w:rPr>
              <w:t>股东D</w:t>
            </w:r>
          </w:p>
        </w:tc>
        <w:tc>
          <w:tcPr>
            <w:tcW w:w="216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30</w:t>
            </w:r>
          </w:p>
        </w:tc>
        <w:tc>
          <w:tcPr>
            <w:tcW w:w="216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zh-CN"/>
              </w:rPr>
              <w:t>货币</w:t>
            </w:r>
          </w:p>
        </w:tc>
        <w:tc>
          <w:tcPr>
            <w:tcW w:w="206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2.325581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  <w:jc w:val="center"/>
        </w:trPr>
        <w:tc>
          <w:tcPr>
            <w:tcW w:w="213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股东A</w:t>
            </w:r>
          </w:p>
        </w:tc>
        <w:tc>
          <w:tcPr>
            <w:tcW w:w="216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30</w:t>
            </w:r>
          </w:p>
        </w:tc>
        <w:tc>
          <w:tcPr>
            <w:tcW w:w="216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货币</w:t>
            </w:r>
          </w:p>
        </w:tc>
        <w:tc>
          <w:tcPr>
            <w:tcW w:w="206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2.325581</w:t>
            </w:r>
          </w:p>
        </w:tc>
      </w:tr>
      <w:tr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  <w:jc w:val="center"/>
        </w:trPr>
        <w:tc>
          <w:tcPr>
            <w:tcW w:w="2132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合计</w:t>
            </w:r>
          </w:p>
        </w:tc>
        <w:tc>
          <w:tcPr>
            <w:tcW w:w="216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1290</w:t>
            </w:r>
          </w:p>
        </w:tc>
        <w:tc>
          <w:tcPr>
            <w:tcW w:w="2168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宋体"/>
                <w:color w:val="000000"/>
                <w:sz w:val="24"/>
                <w:lang w:val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zh-CN"/>
              </w:rPr>
              <w:t>货币</w:t>
            </w:r>
          </w:p>
        </w:tc>
        <w:tc>
          <w:tcPr>
            <w:tcW w:w="206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hAnsi="宋体" w:cs="Calibri"/>
                <w:color w:val="000000"/>
                <w:sz w:val="24"/>
              </w:rPr>
            </w:pPr>
            <w:r>
              <w:rPr>
                <w:rFonts w:hint="eastAsia" w:ascii="宋体" w:hAnsi="宋体" w:cs="Calibri"/>
                <w:color w:val="000000"/>
                <w:sz w:val="24"/>
              </w:rPr>
              <w:t>100</w:t>
            </w:r>
          </w:p>
        </w:tc>
      </w:tr>
    </w:tbl>
    <w:p>
      <w:pPr>
        <w:jc w:val="left"/>
        <w:rPr>
          <w:rFonts w:ascii="楷体" w:hAnsi="楷体" w:eastAsia="楷体"/>
          <w:sz w:val="28"/>
          <w:szCs w:val="28"/>
        </w:rPr>
      </w:pPr>
    </w:p>
    <w:p>
      <w:pPr>
        <w:jc w:val="left"/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第三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章、双方责任</w:t>
      </w:r>
    </w:p>
    <w:p>
      <w:pPr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1、</w:t>
      </w:r>
      <w:r>
        <w:rPr>
          <w:rFonts w:hint="eastAsia" w:ascii="楷体" w:hAnsi="楷体" w:eastAsia="楷体"/>
          <w:sz w:val="28"/>
          <w:szCs w:val="28"/>
          <w:highlight w:val="red"/>
        </w:rPr>
        <w:t>甲方法定代表人所持有股权中的50%，锁定期为5年</w:t>
      </w:r>
      <w:r>
        <w:rPr>
          <w:rFonts w:hint="eastAsia" w:ascii="楷体" w:hAnsi="楷体" w:eastAsia="楷体"/>
          <w:sz w:val="28"/>
          <w:szCs w:val="28"/>
        </w:rPr>
        <w:t>，需按照投资金额相对应的持股比例对公司承担对等责任与义务。且任公司董事长，负责公司股东会、董事会管理，公司经营战略制定，外联资源对接，资本运作、财务监管等工作。</w:t>
      </w:r>
    </w:p>
    <w:p>
      <w:pPr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2、乙方同意</w:t>
      </w:r>
      <w:r>
        <w:rPr>
          <w:rFonts w:hint="eastAsia" w:ascii="楷体" w:hAnsi="楷体" w:eastAsia="楷体"/>
          <w:sz w:val="28"/>
          <w:szCs w:val="28"/>
          <w:highlight w:val="red"/>
        </w:rPr>
        <w:t>甲方所持有股权中的15.116279%为可流通股权</w:t>
      </w:r>
      <w:r>
        <w:rPr>
          <w:rFonts w:hint="eastAsia" w:ascii="楷体" w:hAnsi="楷体" w:eastAsia="楷体"/>
          <w:sz w:val="28"/>
          <w:szCs w:val="28"/>
        </w:rPr>
        <w:t>，可随时转让第三人，引进新股东加入公司。</w:t>
      </w:r>
    </w:p>
    <w:p>
      <w:pPr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3、乙方任公司</w:t>
      </w:r>
      <w:r>
        <w:rPr>
          <w:rFonts w:hint="eastAsia" w:ascii="楷体" w:hAnsi="楷体" w:eastAsia="楷体"/>
          <w:sz w:val="28"/>
          <w:szCs w:val="28"/>
          <w:u w:val="single"/>
        </w:rPr>
        <w:t>财务投资人，</w:t>
      </w:r>
      <w:r>
        <w:rPr>
          <w:rFonts w:hint="eastAsia" w:ascii="楷体" w:hAnsi="楷体" w:eastAsia="楷体"/>
          <w:sz w:val="28"/>
          <w:szCs w:val="28"/>
        </w:rPr>
        <w:t>负责公司</w:t>
      </w:r>
      <w:r>
        <w:rPr>
          <w:rFonts w:hint="eastAsia" w:ascii="楷体" w:hAnsi="楷体" w:eastAsia="楷体"/>
          <w:sz w:val="28"/>
          <w:szCs w:val="28"/>
          <w:u w:val="single"/>
        </w:rPr>
        <w:t>为公司对接相应资源</w:t>
      </w:r>
      <w:r>
        <w:rPr>
          <w:rFonts w:hint="eastAsia" w:ascii="楷体" w:hAnsi="楷体" w:eastAsia="楷体"/>
          <w:sz w:val="28"/>
          <w:szCs w:val="28"/>
        </w:rPr>
        <w:t>，股权锁定期为3年，3年期满后，可转让第三人，同等价格下，甲方法定代表人拥有优先认购权。</w:t>
      </w:r>
    </w:p>
    <w:p>
      <w:pPr>
        <w:jc w:val="left"/>
        <w:rPr>
          <w:rFonts w:ascii="楷体" w:hAnsi="楷体" w:eastAsia="楷体"/>
          <w:sz w:val="28"/>
          <w:szCs w:val="28"/>
          <w:highlight w:val="red"/>
        </w:rPr>
      </w:pPr>
      <w:r>
        <w:rPr>
          <w:rFonts w:hint="eastAsia" w:ascii="楷体" w:hAnsi="楷体" w:eastAsia="楷体"/>
          <w:sz w:val="28"/>
          <w:szCs w:val="28"/>
        </w:rPr>
        <w:t>4、</w:t>
      </w:r>
      <w:r>
        <w:rPr>
          <w:rFonts w:hint="eastAsia" w:ascii="楷体" w:hAnsi="楷体" w:eastAsia="楷体"/>
          <w:sz w:val="28"/>
          <w:szCs w:val="28"/>
          <w:highlight w:val="red"/>
        </w:rPr>
        <w:t>乙方享有乙方所持股权的增值权与分红权、转让权。承诺任何时候不干扰公司经营，并自愿意放弃对公司进行任何形式的调查权、清算权、表决权、决策权、经营管理权，但如公司需要，可对公司提供经营管理方面的建议。</w:t>
      </w:r>
    </w:p>
    <w:p>
      <w:pPr>
        <w:jc w:val="left"/>
        <w:rPr>
          <w:rFonts w:ascii="楷体" w:hAnsi="楷体" w:eastAsia="楷体"/>
          <w:sz w:val="28"/>
          <w:szCs w:val="28"/>
        </w:rPr>
      </w:pP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第四章、股东分红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1、双方均已同意公司所有股东（除特殊约定除外）按照股东所持股的比例对股东享有对等红利分配。红利按照每年税后净利润的30%作为股东分红，70%作为公司再发展资金。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2、经股东决议会三分之二以上的投票通过后，决定于给予所有股东按投资股份比例进行分红。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3、公司股东分红支付方式统一以现金支付，未经目标分红股东同意，公司及任何股东不得以其它方式给予目标股东分红。</w:t>
      </w:r>
    </w:p>
    <w:p>
      <w:pPr>
        <w:rPr>
          <w:rFonts w:ascii="楷体" w:hAnsi="楷体" w:eastAsia="楷体"/>
          <w:b/>
          <w:bCs/>
          <w:sz w:val="28"/>
          <w:szCs w:val="28"/>
        </w:rPr>
      </w:pPr>
    </w:p>
    <w:p>
      <w:pPr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第五章、股份锁定期和退出机制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、甲方法定代表人所持股权的50%锁定期为5年，乙方的股权锁定期为3年，锁定期内无论因任何原因（除持有公司股份的A\B\C类的股东并超出80%以上股份数的股东以同意解散公司外，公司解散参照本章第6条）不得要求公司以及其他任何股东退股，如必须离开公司，视为自愿放弃公司一切股权与资产和剩余红利分配，公司以及其他股东不作任何补偿；期满后，按照本协议约定方式退出，退回方式如下：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（1）如果公司上市，双方均可以在股票市场退出；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（2）如果公司未能上市，甲方法定代表人可将所持股权转让第三方（</w:t>
      </w:r>
      <w:r>
        <w:rPr>
          <w:rFonts w:hint="eastAsia" w:ascii="楷体" w:hAnsi="楷体" w:eastAsia="楷体"/>
          <w:color w:val="0000FF"/>
          <w:sz w:val="28"/>
          <w:szCs w:val="28"/>
        </w:rPr>
        <w:t>第三方不得为公司同行从业者或战略性投资者</w:t>
      </w:r>
      <w:r>
        <w:rPr>
          <w:rFonts w:hint="eastAsia" w:ascii="楷体" w:hAnsi="楷体" w:eastAsia="楷体"/>
          <w:sz w:val="28"/>
          <w:szCs w:val="28"/>
        </w:rPr>
        <w:t>），转卖价格由甲方法定代表人与购买方协商决定，如无人受让，甲方法定代表人将继续持有。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（3）乙方退出公司，乙方可转卖给其它股东，但同等条件下，甲方法定代表人拥有优先购买权，若乙方转让的股权没有第三方受让，由甲方承诺回购，回购方式按本协议本章第7条规定执行。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（4）若乙方的股份转让给第三人，购买者需履行第三章规定的股东相应责任和享有相应的权利。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（5）乙方退出公司不得清算公司任何资产，可享有对公司帐面现金按照原投资比例的分配权，分配前应减去公司所有应付帐款及相关债务，公司收回应收帐款或相关债权后30天之内必须按乙方的投资比例进行分配给乙方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（6）公司解散须经过持股80%以上股份的A\B\C类股东同意方可解散，如果有任何股东不同意解散，须回购退出股东股份，购买股份的股东须在24个月份24期分别退还退出的股东的股份。</w:t>
      </w:r>
    </w:p>
    <w:p>
      <w:pPr>
        <w:rPr>
          <w:rFonts w:ascii="楷体" w:hAnsi="楷体" w:eastAsia="楷体"/>
          <w:sz w:val="28"/>
          <w:szCs w:val="28"/>
          <w:highlight w:val="red"/>
        </w:rPr>
      </w:pPr>
      <w:r>
        <w:rPr>
          <w:rFonts w:hint="eastAsia" w:ascii="楷体" w:hAnsi="楷体" w:eastAsia="楷体"/>
          <w:sz w:val="28"/>
          <w:szCs w:val="28"/>
        </w:rPr>
        <w:t>（7）如果乙方不认可公司经营方向并且3年期满后，可随时要求甲方进行退股，退股按撤资计算，价格为原投资额+历年分红结余或历年亏损结余。</w:t>
      </w:r>
      <w:r>
        <w:rPr>
          <w:rFonts w:hint="eastAsia" w:ascii="楷体" w:hAnsi="楷体" w:eastAsia="楷体"/>
          <w:sz w:val="28"/>
          <w:szCs w:val="28"/>
          <w:highlight w:val="red"/>
        </w:rPr>
        <w:t>甲方应在30天内退还乙方50%股本金加相应收益或亏损结余，其他50%股本金加相应收益或亏损结余在工商变更后30内退清，但不超过三个月。退股后其股权由剩余股东同比例吸收。</w:t>
      </w:r>
    </w:p>
    <w:p>
      <w:pPr>
        <w:rPr>
          <w:rFonts w:ascii="楷体" w:hAnsi="楷体" w:eastAsia="楷体"/>
          <w:b/>
          <w:bCs/>
          <w:sz w:val="28"/>
          <w:szCs w:val="28"/>
        </w:rPr>
      </w:pPr>
    </w:p>
    <w:p>
      <w:pPr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第六章、下轮增资方案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1、公司下轮增资需由公司持股三分之二以上的股东同意方可增资。</w:t>
      </w:r>
    </w:p>
    <w:p>
      <w:pPr>
        <w:rPr>
          <w:rFonts w:ascii="楷体" w:hAnsi="楷体" w:eastAsia="楷体"/>
          <w:sz w:val="28"/>
          <w:szCs w:val="28"/>
          <w:highlight w:val="red"/>
        </w:rPr>
      </w:pPr>
      <w:r>
        <w:rPr>
          <w:rFonts w:hint="eastAsia" w:ascii="楷体" w:hAnsi="楷体" w:eastAsia="楷体"/>
          <w:sz w:val="28"/>
          <w:szCs w:val="28"/>
          <w:highlight w:val="red"/>
        </w:rPr>
        <w:t>2、双方协商决定，当甲方法定代表人的持股比例高于60%时，公司引进新股东，由甲方法定代表人作股权转让，不对乙方股权进行稀释。</w:t>
      </w:r>
    </w:p>
    <w:p>
      <w:pPr>
        <w:rPr>
          <w:rFonts w:ascii="楷体" w:hAnsi="楷体" w:eastAsia="楷体"/>
          <w:sz w:val="28"/>
          <w:szCs w:val="28"/>
          <w:highlight w:val="red"/>
        </w:rPr>
      </w:pPr>
      <w:r>
        <w:rPr>
          <w:rFonts w:hint="eastAsia" w:ascii="楷体" w:hAnsi="楷体" w:eastAsia="楷体"/>
          <w:sz w:val="28"/>
          <w:szCs w:val="28"/>
          <w:highlight w:val="red"/>
        </w:rPr>
        <w:t>3、双方协商决定，当甲方法定代表人的持股比例等于60%或低于60%时，引进新股东，按增资计算，双方股权同比例稀释。</w:t>
      </w:r>
    </w:p>
    <w:p>
      <w:pPr>
        <w:rPr>
          <w:rFonts w:ascii="楷体" w:hAnsi="楷体" w:eastAsia="楷体"/>
          <w:b/>
          <w:bCs/>
          <w:sz w:val="28"/>
          <w:szCs w:val="28"/>
        </w:rPr>
      </w:pP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第七章、其它协议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1、本协议拥有法律效应，自从注册变更之日起正式生效。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2、其它相关事宜由双主协商解决。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3、除签名外，其它手写字均无效，复印无效。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4、若本协议与原公司章程有冲突，按本协议执行。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5、如果本协议规定不妥之处，可由双方共同协商修正。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6、若本协议尚未规定之处，公司章程中有规定的，按公司章程执行。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7、如甲乙双方协商不成，由双方当事人合同签订地或被告公司所在地人民法院管辖。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8、本协议必须由甲乙双方签字并盖有公司齐缝章方可生效。</w:t>
      </w:r>
    </w:p>
    <w:p>
      <w:pPr>
        <w:rPr>
          <w:rFonts w:ascii="楷体" w:hAnsi="楷体" w:eastAsia="楷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甲方：（签字）                     乙方：（公司签章）</w:t>
      </w:r>
    </w:p>
    <w:p>
      <w:pPr>
        <w:ind w:firstLine="4760" w:firstLineChars="17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股东签名：（需两名股东签名）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签约时间：                        签约时间：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6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3AF72"/>
    <w:multiLevelType w:val="singleLevel"/>
    <w:tmpl w:val="53A3AF7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3A64ACF"/>
    <w:multiLevelType w:val="singleLevel"/>
    <w:tmpl w:val="53A64ACF"/>
    <w:lvl w:ilvl="0" w:tentative="0">
      <w:start w:val="2"/>
      <w:numFmt w:val="chineseCounting"/>
      <w:suff w:val="nothing"/>
      <w:lvlText w:val="第%1章"/>
      <w:lvlJc w:val="left"/>
    </w:lvl>
  </w:abstractNum>
  <w:abstractNum w:abstractNumId="2">
    <w:nsid w:val="6EFB69AB"/>
    <w:multiLevelType w:val="multilevel"/>
    <w:tmpl w:val="6EFB69AB"/>
    <w:lvl w:ilvl="0" w:tentative="0">
      <w:start w:val="1"/>
      <w:numFmt w:val="japaneseCounting"/>
      <w:lvlText w:val="第%1章、"/>
      <w:lvlJc w:val="left"/>
      <w:pPr>
        <w:ind w:left="1080" w:hanging="108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7A77C5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357</Words>
  <Characters>2038</Characters>
  <Lines>16</Lines>
  <Paragraphs>4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2014-06-19T07:01:00Z</dcterms:created>
  <dc:creator>Admin</dc:creator>
  <cp:lastModifiedBy>Administrator</cp:lastModifiedBy>
  <dcterms:modified xsi:type="dcterms:W3CDTF">2017-04-19T00:18:01Z</dcterms:modified>
  <dc:title>广州罗纳红酒业有限公司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