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11ul8x4ihn84" w:id="0"/>
    <w:bookmarkEnd w:id="0"/>
    <w:bookmarkStart w:colFirst="0" w:colLast="0" w:name="bookmark=id.anpykqk8gulo" w:id="1"/>
    <w:bookmarkEnd w:id="1"/>
    <w:p w:rsidR="00000000" w:rsidDel="00000000" w:rsidP="00000000" w:rsidRDefault="00000000" w:rsidRPr="00000000" w14:paraId="00000001">
      <w:pPr>
        <w:spacing w:after="0" w:line="360" w:lineRule="auto"/>
        <w:ind w:left="360" w:hanging="360"/>
        <w:jc w:val="center"/>
        <w:rPr>
          <w:rFonts w:ascii="Arial" w:cs="Arial" w:eastAsia="Arial" w:hAnsi="Arial"/>
          <w:b w:val="1"/>
          <w:bCs w:val="1"/>
        </w:rPr>
      </w:pPr>
      <w:r w:rsidDel="00000000" w:rsidR="00000000" w:rsidRPr="00000000">
        <w:rPr>
          <w:rFonts w:ascii="Arial" w:cs="Arial" w:eastAsia="Arial" w:hAnsi="Arial"/>
          <w:b w:val="1"/>
          <w:bCs w:val="1"/>
          <w:rtl w:val="0"/>
        </w:rPr>
        <w:t xml:space="preserve">Diversity in the Making: From Tools to Teammates in Human–AI Innovation Teams</w:t>
      </w:r>
    </w:p>
    <w:p w:rsidR="00000000" w:rsidDel="00000000" w:rsidP="00000000" w:rsidRDefault="00000000" w:rsidRPr="00000000" w14:paraId="00000002">
      <w:pPr>
        <w:spacing w:after="0" w:line="360" w:lineRule="auto"/>
        <w:ind w:left="360" w:hanging="36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Theoretical Foundation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Diamond model (divergent and convergent thinking phases) can potentially be the primary structure, which emphasises broad ideation followed by solution refinement. It explicitly distinguishes divergence (idea generation) and convergence (evaluation) phases, fitting our interest in both broad ideation and selection. Double Diamond is widely used for creative problem solving. It supports our aim to separately test AI’s influence in divergent vs. convergent stages. We will implement it by planning distinct “brainstorming” vs. “evaluation” phases in the workshop, controlling when AI enters.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Roles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three AI roles should be more explicitly linked to a theoretical foundation in creativity, human cognitive behaviour and innovation literature. Currently, the three roles are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Analyst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Creative Partner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Designer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with example prompts and expected LLM outputs. The three levels of creation look to be well grounded in the literature, creation support, co-creation and generative creation.</w:t>
      </w:r>
    </w:p>
    <w:bookmarkStart w:colFirst="0" w:colLast="0" w:name="bookmark=id.ih05nwnfoxxu" w:id="2"/>
    <w:bookmarkEnd w:id="2"/>
    <w:p w:rsidR="00000000" w:rsidDel="00000000" w:rsidP="00000000" w:rsidRDefault="00000000" w:rsidRPr="00000000" w14:paraId="00000008">
      <w:pPr>
        <w:numPr>
          <w:ilvl w:val="0"/>
          <w:numId w:val="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Analyst (Decision Support): The AI behaves as a data-oriented analyst. </w:t>
      </w:r>
      <w:r w:rsidDel="00000000" w:rsidR="00000000" w:rsidRPr="00000000">
        <w:rPr>
          <w:rFonts w:ascii="Arial" w:cs="Arial" w:eastAsia="Arial" w:hAnsi="Arial"/>
          <w:i w:val="1"/>
          <w:iCs w:val="1"/>
          <w:sz w:val="20"/>
          <w:szCs w:val="20"/>
          <w:rtl w:val="0"/>
        </w:rPr>
        <w:t xml:space="preserve">Example prompt:</w:t>
      </w:r>
      <w:r w:rsidDel="00000000" w:rsidR="00000000" w:rsidRPr="00000000">
        <w:rPr>
          <w:rFonts w:ascii="Arial" w:cs="Arial" w:eastAsia="Arial" w:hAnsi="Arial"/>
          <w:sz w:val="20"/>
          <w:szCs w:val="20"/>
          <w:rtl w:val="0"/>
        </w:rPr>
        <w:t xml:space="preserve"> “You are a market analyst. Summarize key trends and data relevant to [problem X].” </w:t>
      </w:r>
      <w:r w:rsidDel="00000000" w:rsidR="00000000" w:rsidRPr="00000000">
        <w:rPr>
          <w:rFonts w:ascii="Arial" w:cs="Arial" w:eastAsia="Arial" w:hAnsi="Arial"/>
          <w:i w:val="1"/>
          <w:iCs w:val="1"/>
          <w:sz w:val="20"/>
          <w:szCs w:val="20"/>
          <w:rtl w:val="0"/>
        </w:rPr>
        <w:t xml:space="preserve">Expected output:</w:t>
      </w:r>
      <w:r w:rsidDel="00000000" w:rsidR="00000000" w:rsidRPr="00000000">
        <w:rPr>
          <w:rFonts w:ascii="Arial" w:cs="Arial" w:eastAsia="Arial" w:hAnsi="Arial"/>
          <w:sz w:val="20"/>
          <w:szCs w:val="20"/>
          <w:rtl w:val="0"/>
        </w:rPr>
        <w:t xml:space="preserve"> A structured summary or key points list (e.g. market stats, stakeholder quotes, summarised research). </w:t>
      </w:r>
      <w:r w:rsidDel="00000000" w:rsidR="00000000" w:rsidRPr="00000000">
        <w:rPr>
          <w:rFonts w:ascii="Arial" w:cs="Arial" w:eastAsia="Arial" w:hAnsi="Arial"/>
          <w:i w:val="1"/>
          <w:iCs w:val="1"/>
          <w:sz w:val="20"/>
          <w:szCs w:val="20"/>
          <w:rtl w:val="0"/>
        </w:rPr>
        <w:t xml:space="preserve">Theoretical mapping:</w:t>
      </w:r>
      <w:r w:rsidDel="00000000" w:rsidR="00000000" w:rsidRPr="00000000">
        <w:rPr>
          <w:rFonts w:ascii="Arial" w:cs="Arial" w:eastAsia="Arial" w:hAnsi="Arial"/>
          <w:sz w:val="20"/>
          <w:szCs w:val="20"/>
          <w:rtl w:val="0"/>
        </w:rPr>
        <w:t xml:space="preserve"> Aligns with decision-support systems (Parasuraman et al.’s automation levels). This role reduces information load on humans. It may improve idea feasibility but can induce automation bias. We expect modest creativity boost (by informing humans) and relatively high trust (if outputs are factual).</w:t>
      </w:r>
    </w:p>
    <w:p w:rsidR="00000000" w:rsidDel="00000000" w:rsidP="00000000" w:rsidRDefault="00000000" w:rsidRPr="00000000" w14:paraId="00000009">
      <w:pPr>
        <w:numPr>
          <w:ilvl w:val="0"/>
          <w:numId w:val="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Creative Partner (Co-Creation): The AI acts as a collaborator in ideation. </w:t>
      </w:r>
      <w:r w:rsidDel="00000000" w:rsidR="00000000" w:rsidRPr="00000000">
        <w:rPr>
          <w:rFonts w:ascii="Arial" w:cs="Arial" w:eastAsia="Arial" w:hAnsi="Arial"/>
          <w:i w:val="1"/>
          <w:iCs w:val="1"/>
          <w:sz w:val="20"/>
          <w:szCs w:val="20"/>
          <w:rtl w:val="0"/>
        </w:rPr>
        <w:t xml:space="preserve">Example prompt:</w:t>
      </w:r>
      <w:r w:rsidDel="00000000" w:rsidR="00000000" w:rsidRPr="00000000">
        <w:rPr>
          <w:rFonts w:ascii="Arial" w:cs="Arial" w:eastAsia="Arial" w:hAnsi="Arial"/>
          <w:sz w:val="20"/>
          <w:szCs w:val="20"/>
          <w:rtl w:val="0"/>
        </w:rPr>
        <w:t xml:space="preserve"> “You are a creative collaborator. Generate 10 novel ideas for [innovative solution to problem X].” </w:t>
      </w:r>
      <w:r w:rsidDel="00000000" w:rsidR="00000000" w:rsidRPr="00000000">
        <w:rPr>
          <w:rFonts w:ascii="Arial" w:cs="Arial" w:eastAsia="Arial" w:hAnsi="Arial"/>
          <w:i w:val="1"/>
          <w:iCs w:val="1"/>
          <w:sz w:val="20"/>
          <w:szCs w:val="20"/>
          <w:rtl w:val="0"/>
        </w:rPr>
        <w:t xml:space="preserve">Expected output:</w:t>
      </w:r>
      <w:r w:rsidDel="00000000" w:rsidR="00000000" w:rsidRPr="00000000">
        <w:rPr>
          <w:rFonts w:ascii="Arial" w:cs="Arial" w:eastAsia="Arial" w:hAnsi="Arial"/>
          <w:sz w:val="20"/>
          <w:szCs w:val="20"/>
          <w:rtl w:val="0"/>
        </w:rPr>
        <w:t xml:space="preserve"> A list of brainstorming ideas or concepts. </w:t>
      </w:r>
      <w:r w:rsidDel="00000000" w:rsidR="00000000" w:rsidRPr="00000000">
        <w:rPr>
          <w:rFonts w:ascii="Arial" w:cs="Arial" w:eastAsia="Arial" w:hAnsi="Arial"/>
          <w:i w:val="1"/>
          <w:iCs w:val="1"/>
          <w:sz w:val="20"/>
          <w:szCs w:val="20"/>
          <w:rtl w:val="0"/>
        </w:rPr>
        <w:t xml:space="preserve">Theoretical mapping:</w:t>
      </w:r>
      <w:r w:rsidDel="00000000" w:rsidR="00000000" w:rsidRPr="00000000">
        <w:rPr>
          <w:rFonts w:ascii="Arial" w:cs="Arial" w:eastAsia="Arial" w:hAnsi="Arial"/>
          <w:sz w:val="20"/>
          <w:szCs w:val="20"/>
          <w:rtl w:val="0"/>
        </w:rPr>
        <w:t xml:space="preserve"> This fits human-AI co-creation literature. The AI is treated as a “cybernetic teammate,” which can widen participation. We hypothesize high increase in quantity/novelty of ideas, but also risk of converging on similar themes. Trust may be moderate—human partners must critically evaluate AI’s creative suggestions.</w:t>
      </w:r>
    </w:p>
    <w:p w:rsidR="00000000" w:rsidDel="00000000" w:rsidP="00000000" w:rsidRDefault="00000000" w:rsidRPr="00000000" w14:paraId="0000000A">
      <w:pPr>
        <w:numPr>
          <w:ilvl w:val="0"/>
          <w:numId w:val="3"/>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Designer (Generative Creation): The AI autonomously produces draft designs. </w:t>
      </w:r>
      <w:r w:rsidDel="00000000" w:rsidR="00000000" w:rsidRPr="00000000">
        <w:rPr>
          <w:rFonts w:ascii="Arial" w:cs="Arial" w:eastAsia="Arial" w:hAnsi="Arial"/>
          <w:i w:val="1"/>
          <w:iCs w:val="1"/>
          <w:sz w:val="20"/>
          <w:szCs w:val="20"/>
          <w:rtl w:val="0"/>
        </w:rPr>
        <w:t xml:space="preserve">Example prompt:</w:t>
      </w:r>
      <w:r w:rsidDel="00000000" w:rsidR="00000000" w:rsidRPr="00000000">
        <w:rPr>
          <w:rFonts w:ascii="Arial" w:cs="Arial" w:eastAsia="Arial" w:hAnsi="Arial"/>
          <w:sz w:val="20"/>
          <w:szCs w:val="20"/>
          <w:rtl w:val="0"/>
        </w:rPr>
        <w:t xml:space="preserve"> “You are a product designer. Sketch or describe a prototype solution for [problem X].” </w:t>
      </w:r>
      <w:r w:rsidDel="00000000" w:rsidR="00000000" w:rsidRPr="00000000">
        <w:rPr>
          <w:rFonts w:ascii="Arial" w:cs="Arial" w:eastAsia="Arial" w:hAnsi="Arial"/>
          <w:i w:val="1"/>
          <w:iCs w:val="1"/>
          <w:sz w:val="20"/>
          <w:szCs w:val="20"/>
          <w:rtl w:val="0"/>
        </w:rPr>
        <w:t xml:space="preserve">Expected output:</w:t>
      </w:r>
      <w:r w:rsidDel="00000000" w:rsidR="00000000" w:rsidRPr="00000000">
        <w:rPr>
          <w:rFonts w:ascii="Arial" w:cs="Arial" w:eastAsia="Arial" w:hAnsi="Arial"/>
          <w:sz w:val="20"/>
          <w:szCs w:val="20"/>
          <w:rtl w:val="0"/>
        </w:rPr>
        <w:t xml:space="preserve"> A conceptual description (textual or simple diagram instruction) of a prototype, including form, features, or visuals. </w:t>
      </w:r>
      <w:r w:rsidDel="00000000" w:rsidR="00000000" w:rsidRPr="00000000">
        <w:rPr>
          <w:rFonts w:ascii="Arial" w:cs="Arial" w:eastAsia="Arial" w:hAnsi="Arial"/>
          <w:i w:val="1"/>
          <w:iCs w:val="1"/>
          <w:sz w:val="20"/>
          <w:szCs w:val="20"/>
          <w:rtl w:val="0"/>
        </w:rPr>
        <w:t xml:space="preserve">Theoretical mapping:</w:t>
      </w:r>
      <w:r w:rsidDel="00000000" w:rsidR="00000000" w:rsidRPr="00000000">
        <w:rPr>
          <w:rFonts w:ascii="Arial" w:cs="Arial" w:eastAsia="Arial" w:hAnsi="Arial"/>
          <w:sz w:val="20"/>
          <w:szCs w:val="20"/>
          <w:rtl w:val="0"/>
        </w:rPr>
        <w:t xml:space="preserve"> This role parallels generative design tools. The AI takes on part of the creation, shifting humans to evaluators. We anticipate strong influence on final solution form, potentially improving efficiency but possibly reducing human idea ownership. According to Piller </w:t>
      </w:r>
      <w:r w:rsidDel="00000000" w:rsidR="00000000" w:rsidRPr="00000000">
        <w:rPr>
          <w:rFonts w:ascii="Arial" w:cs="Arial" w:eastAsia="Arial" w:hAnsi="Arial"/>
          <w:i w:val="1"/>
          <w:iCs w:val="1"/>
          <w:sz w:val="20"/>
          <w:szCs w:val="20"/>
          <w:rtl w:val="0"/>
        </w:rPr>
        <w:t xml:space="preserve">et al.</w:t>
      </w:r>
      <w:hyperlink r:id="rId7">
        <w:r w:rsidDel="00000000" w:rsidR="00000000" w:rsidRPr="00000000">
          <w:rPr>
            <w:rFonts w:ascii="Arial" w:cs="Arial" w:eastAsia="Arial" w:hAnsi="Arial"/>
            <w:color w:val="000000"/>
            <w:sz w:val="20"/>
            <w:szCs w:val="20"/>
            <w:rtl w:val="0"/>
          </w:rPr>
          <w:t xml:space="preserve">[3]</w:t>
        </w:r>
      </w:hyperlink>
      <w:r w:rsidDel="00000000" w:rsidR="00000000" w:rsidRPr="00000000">
        <w:rPr>
          <w:rFonts w:ascii="Arial" w:cs="Arial" w:eastAsia="Arial" w:hAnsi="Arial"/>
          <w:sz w:val="20"/>
          <w:szCs w:val="20"/>
          <w:rtl w:val="0"/>
        </w:rPr>
        <w:t xml:space="preserve">, tasks requiring domain accuracy (like design details) need high trust, so misalignment is risky.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References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Amabile, T.M., 1988. A model of creativity and innovation in organizations.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Research in Organizational Behavior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pp.123–167.</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Hatchuel, A. and Weil, B., 2009. C–K design theory: An advanced formulation.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Research in Engineering Design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19(4), pp.181–192. https://doi.org/10.1007/s00163-008-0054-4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Felin, T. and Zenger, T.R., 2014. Closed or open innovation? Problem solving and the governance choice.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Research Policy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43(5), pp.914–925. https://doi.org/10.1016/j.respol.2013.09.012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 Design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Possibly up to four feasible experimental cells (e.g. control vs. AI conditions) with implications on sample sizes and randomisation, balancing power and logistics. Team compositions of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humans + 1 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optionally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humans + 1 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to mix perspectives and workload evenly.</w:t>
      </w:r>
    </w:p>
    <w:bookmarkStart w:colFirst="0" w:colLast="0" w:name="bookmark=id.oak6tpbs9pnw" w:id="3"/>
    <w:bookmarkEnd w:id="3"/>
    <w:p w:rsidR="00000000" w:rsidDel="00000000" w:rsidP="00000000" w:rsidRDefault="00000000" w:rsidRPr="00000000" w14:paraId="00000012">
      <w:pPr>
        <w:pStyle w:val="Heading2"/>
        <w:spacing w:after="0" w:before="0" w:line="36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Experimental Conditions (Cells)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 design: Limit to 4 cells. Two plausible designs are: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Role-centric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Control (no AI) vs. Analyst-AI vs. Creative-AI vs. Designer-AI (each AI engaged throughout). This covers all roles but no timing variation.</w:t>
      </w:r>
    </w:p>
    <w:p w:rsidR="00000000" w:rsidDel="00000000" w:rsidP="00000000" w:rsidRDefault="00000000" w:rsidRPr="00000000" w14:paraId="00000015">
      <w:pPr>
        <w:numPr>
          <w:ilvl w:val="0"/>
          <w:numId w:val="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Timing-centric</w:t>
      </w:r>
      <w:r w:rsidDel="00000000" w:rsidR="00000000" w:rsidRPr="00000000">
        <w:rPr>
          <w:rFonts w:ascii="Arial" w:cs="Arial" w:eastAsia="Arial" w:hAnsi="Arial"/>
          <w:sz w:val="20"/>
          <w:szCs w:val="20"/>
          <w:rtl w:val="0"/>
        </w:rPr>
        <w:t xml:space="preserve">: Control vs. AI in divergence vs. AI in convergence vs. AI throughout (all as Creative role). This focuses on timing effects.</w:t>
        <w:br w:type="textWrapping"/>
        <w:t xml:space="preserve">Choose based on priority (roles vs. timing). For example, if the team decides to probe the creative role deeply, the second option is preferred.</w:t>
      </w:r>
    </w:p>
    <w:p w:rsidR="00000000" w:rsidDel="00000000" w:rsidP="00000000" w:rsidRDefault="00000000" w:rsidRPr="00000000" w14:paraId="00000016">
      <w:pPr>
        <w:numPr>
          <w:ilvl w:val="0"/>
          <w:numId w:val="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Sample size guidance: For a pilot, aim for 3–5 teams per cell (each team 3–4 people). E.g. 4 cells × 4 teams × 4 people = 64 participants. A simple power analysis (ANOVA, α=0.05, f=0.25) suggests ~10–15 participants per condition to detect medium effects; our proposed ~16 per cell (4 teams×4) yields moderate power. If resources are limited, prioritise at least 2 teams per cell to allow some replication.</w:t>
      </w:r>
    </w:p>
    <w:p w:rsidR="00000000" w:rsidDel="00000000" w:rsidP="00000000" w:rsidRDefault="00000000" w:rsidRPr="00000000" w14:paraId="00000017">
      <w:pPr>
        <w:numPr>
          <w:ilvl w:val="0"/>
          <w:numId w:val="4"/>
        </w:numPr>
        <w:spacing w:after="0" w:line="36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3 * 4 + 2 * 4 + 2 * 4 =   </w:t>
      </w:r>
    </w:p>
    <w:p w:rsidR="00000000" w:rsidDel="00000000" w:rsidP="00000000" w:rsidRDefault="00000000" w:rsidRPr="00000000" w14:paraId="00000018">
      <w:pPr>
        <w:numPr>
          <w:ilvl w:val="0"/>
          <w:numId w:val="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Randomisation: Randomly assign </w:t>
      </w:r>
      <w:r w:rsidDel="00000000" w:rsidR="00000000" w:rsidRPr="00000000">
        <w:rPr>
          <w:rFonts w:ascii="Arial" w:cs="Arial" w:eastAsia="Arial" w:hAnsi="Arial"/>
          <w:i w:val="1"/>
          <w:iCs w:val="1"/>
          <w:sz w:val="20"/>
          <w:szCs w:val="20"/>
          <w:rtl w:val="0"/>
        </w:rPr>
        <w:t xml:space="preserve">teams</w:t>
      </w:r>
      <w:r w:rsidDel="00000000" w:rsidR="00000000" w:rsidRPr="00000000">
        <w:rPr>
          <w:rFonts w:ascii="Arial" w:cs="Arial" w:eastAsia="Arial" w:hAnsi="Arial"/>
          <w:sz w:val="20"/>
          <w:szCs w:val="20"/>
          <w:rtl w:val="0"/>
        </w:rPr>
        <w:t xml:space="preserve"> (not individuals) to cells. For balance, randomly draw from a pool after recruitment. Use blocked randomisation if necessary (e.g. ensure equal skill mix in each cell). If running multiple workshop sessions, counterbalance cell assignments across sessions.</w:t>
      </w:r>
    </w:p>
    <w:p w:rsidR="00000000" w:rsidDel="00000000" w:rsidP="00000000" w:rsidRDefault="00000000" w:rsidRPr="00000000" w14:paraId="00000019">
      <w:pPr>
        <w:numPr>
          <w:ilvl w:val="0"/>
          <w:numId w:val="4"/>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Trade-offs: More cells increase insight but dilute power and complexity. The Role-centric design allows testing distinct AI functions, but each has fewer observations. The Timing-centric design keeps the role constant (Creative) and isolates timing; easier to compare to control. Consider lab capacity and team availability. A 2×2 design (e.g. AI vs. no AI crossed with early vs. late exposure) is also possible but may exceed a 4-cell limit.</w:t>
      </w:r>
    </w:p>
    <w:bookmarkStart w:colFirst="0" w:colLast="0" w:name="bookmark=id.fh7aa6nx6b2" w:id="4"/>
    <w:bookmarkEnd w:id="4"/>
    <w:p w:rsidR="00000000" w:rsidDel="00000000" w:rsidP="00000000" w:rsidRDefault="00000000" w:rsidRPr="00000000" w14:paraId="0000001A">
      <w:pPr>
        <w:pStyle w:val="Heading2"/>
        <w:spacing w:after="0" w:before="0" w:line="36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Team Composition</w:t>
      </w:r>
    </w:p>
    <w:p w:rsidR="00000000" w:rsidDel="00000000" w:rsidP="00000000" w:rsidRDefault="00000000" w:rsidRPr="00000000" w14:paraId="0000001B">
      <w:pPr>
        <w:numPr>
          <w:ilvl w:val="0"/>
          <w:numId w:val="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Recommended size: </w:t>
      </w:r>
      <w:r w:rsidDel="00000000" w:rsidR="00000000" w:rsidRPr="00000000">
        <w:rPr>
          <w:rFonts w:ascii="Arial" w:cs="Arial" w:eastAsia="Arial" w:hAnsi="Arial"/>
          <w:i w:val="1"/>
          <w:iCs w:val="1"/>
          <w:sz w:val="20"/>
          <w:szCs w:val="20"/>
          <w:rtl w:val="0"/>
        </w:rPr>
        <w:t xml:space="preserve">3 humans + 1 AI</w:t>
      </w:r>
      <w:sdt>
        <w:sdtPr>
          <w:id w:val="779250697"/>
          <w:tag w:val="goog_rdk_0"/>
        </w:sdtPr>
        <w:sdtContent>
          <w:r w:rsidDel="00000000" w:rsidR="00000000" w:rsidRPr="00000000">
            <w:rPr>
              <w:rFonts w:ascii="Arial Unicode MS" w:cs="Arial Unicode MS" w:eastAsia="Arial Unicode MS" w:hAnsi="Arial Unicode MS"/>
              <w:sz w:val="20"/>
              <w:szCs w:val="20"/>
              <w:rtl w:val="0"/>
            </w:rPr>
            <w:t xml:space="preserve"> per team is optimal. This allows diverse human input without overloading any individual. It matches industry practice (e.g. P&amp;G hackathon found 2H+AI ≈ 2H and best was 3H+AI). A control condition should have </w:t>
          </w:r>
        </w:sdtContent>
      </w:sdt>
      <w:r w:rsidDel="00000000" w:rsidR="00000000" w:rsidRPr="00000000">
        <w:rPr>
          <w:rFonts w:ascii="Arial" w:cs="Arial" w:eastAsia="Arial" w:hAnsi="Arial"/>
          <w:i w:val="1"/>
          <w:iCs w:val="1"/>
          <w:sz w:val="20"/>
          <w:szCs w:val="20"/>
          <w:rtl w:val="0"/>
        </w:rPr>
        <w:t xml:space="preserve">3 humans alone</w:t>
      </w:r>
      <w:r w:rsidDel="00000000" w:rsidR="00000000" w:rsidRPr="00000000">
        <w:rPr>
          <w:rFonts w:ascii="Arial" w:cs="Arial" w:eastAsia="Arial" w:hAnsi="Arial"/>
          <w:sz w:val="20"/>
          <w:szCs w:val="20"/>
          <w:rtl w:val="0"/>
        </w:rPr>
        <w:t xml:space="preserve"> to compare. Optionally, a smaller team (2H+AI vs. 2H) can be included to test scaling effects.</w:t>
      </w:r>
    </w:p>
    <w:p w:rsidR="00000000" w:rsidDel="00000000" w:rsidP="00000000" w:rsidRDefault="00000000" w:rsidRPr="00000000" w14:paraId="0000001C">
      <w:pPr>
        <w:numPr>
          <w:ilvl w:val="0"/>
          <w:numId w:val="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Rationale: Three humans ensure a range of expertise (e.g. one creative, one analytic, one tech). The AI complements them. With 4 members, idea generation remains manageable. Larger teams (4H+AI) might diffuse responsibility and lengthen logistics; smaller (1H+AI) leans toward individual work and may reduce social dynamics.</w:t>
      </w:r>
    </w:p>
    <w:p w:rsidR="00000000" w:rsidDel="00000000" w:rsidP="00000000" w:rsidRDefault="00000000" w:rsidRPr="00000000" w14:paraId="0000001D">
      <w:pPr>
        <w:numPr>
          <w:ilvl w:val="0"/>
          <w:numId w:val="5"/>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Balance: Randomly assign participants to teams, ensuring each has mixed backgrounds (entrepreneurship, tech, marketing). This balances domain knowledge across conditions.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Measurement</w:t>
      </w:r>
    </w:p>
    <w:bookmarkStart w:colFirst="0" w:colLast="0" w:name="bookmark=id.yg7cwrn66ndu" w:id="5"/>
    <w:bookmarkEnd w:id="5"/>
    <w:p w:rsidR="00000000" w:rsidDel="00000000" w:rsidP="00000000" w:rsidRDefault="00000000" w:rsidRPr="00000000" w14:paraId="00000020">
      <w:pPr>
        <w:pStyle w:val="Heading2"/>
        <w:spacing w:after="0" w:before="0" w:line="36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Pre-workshop Questionnaire</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Demographics: Age, gender, education, field of study.</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Creative Self-Efficacy: (Tierney &amp; Farmer, 2002 style) e.g. “I am confident in my ability to produce creative ideas”</w:t>
      </w:r>
      <w:hyperlink r:id="rId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(Likert 1–7, 3–4 items).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Familiarity: e.g. “I use AI tools (like ChatGPT) frequently” (1–7).</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Experience: “I have worked in cross-functional teams before.”</w:t>
      </w:r>
    </w:p>
    <w:p w:rsidR="00000000" w:rsidDel="00000000" w:rsidP="00000000" w:rsidRDefault="00000000" w:rsidRPr="00000000" w14:paraId="00000025">
      <w:pPr>
        <w:numPr>
          <w:ilvl w:val="0"/>
          <w:numId w:val="7"/>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UTAUT factors – Baseline Attitudes: Performance expectancy (“I expect AI to improve team creativity”</w:t>
      </w:r>
      <w:hyperlink r:id="rId9">
        <w:r w:rsidDel="00000000" w:rsidR="00000000" w:rsidRPr="00000000">
          <w:rPr>
            <w:rFonts w:ascii="Arial" w:cs="Arial" w:eastAsia="Arial" w:hAnsi="Arial"/>
            <w:color w:val="000000"/>
            <w:sz w:val="20"/>
            <w:szCs w:val="20"/>
            <w:rtl w:val="0"/>
          </w:rPr>
          <w:t xml:space="preserve">[7]</w:t>
        </w:r>
      </w:hyperlink>
      <w:r w:rsidDel="00000000" w:rsidR="00000000" w:rsidRPr="00000000">
        <w:rPr>
          <w:rFonts w:ascii="Arial" w:cs="Arial" w:eastAsia="Arial" w:hAnsi="Arial"/>
          <w:sz w:val="20"/>
          <w:szCs w:val="20"/>
          <w:rtl w:val="0"/>
        </w:rPr>
        <w:t xml:space="preserve">), effort expectancy (“Using the AI tool will be easy”), social influence (“My peers think using AI is a good idea”).</w:t>
      </w:r>
    </w:p>
    <w:p w:rsidR="00000000" w:rsidDel="00000000" w:rsidP="00000000" w:rsidRDefault="00000000" w:rsidRPr="00000000" w14:paraId="00000026">
      <w:pPr>
        <w:spacing w:after="0" w:line="36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Post-Workshop Questionnaire</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Perceived Creativity: “The ideas we generated were creative and useful.”</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Trust in AI: Adapted from Jian et al. (2000) or McKnight (2011): e.g. “I trusted the AI’s suggestions during the task.”, “The AI behaved reliably.” (Likert 1–7).</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UTAUT Scales: Repeat performance/effort expectancy for future use; “I would like to use AI in my regular innovation work” (Behavioral Intention).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NASA-TLX Workload: A few key items like “Rate the mental demand (1=very low, 7=very high)”, “How hard did you have to work?” to gauge cognitive load.</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Manipulation Checks: E.g. “At what point did the AI join your session?” with options (no AI / brainstorming / evaluation / whole session). “Which role was the AI instructed to play?” (options: analyst, ideator, designer, not told).</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Process: A brief teamwork scale (e.g. “Our team collaborated effectively” on 1–7).</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Sample Questionnaire Items (Likert 1–7)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br w:type="textWrapping"/>
        <w:t xml:space="preserve">- “I am confident I can generate creative solutions.” (Creative self-efficacy)</w:t>
        <w:br w:type="textWrapping"/>
        <w:t xml:space="preserve">- “Using an AI assistant would make my work more effective.” (UTAUT – performance)</w:t>
        <w:br w:type="textWrapping"/>
        <w:t xml:space="preserve">- “The AI tool was easy to use.” (UTAUT – effort)</w:t>
        <w:br w:type="textWrapping"/>
        <w:t xml:space="preserve">- “I trusted the AI’s suggestions.” (Trust in automation)</w:t>
        <w:br w:type="textWrapping"/>
        <w:t xml:space="preserve">- “The task required a lot of mental effort.” (NASA-TLX mental demand)</w:t>
        <w:br w:type="textWrapping"/>
        <w:t xml:space="preserve">- “I felt in control over the AI output.” (Autonomy sense)</w:t>
      </w:r>
    </w:p>
    <w:bookmarkStart w:colFirst="0" w:colLast="0" w:name="bookmark=id.4opunnwpzbyq" w:id="6"/>
    <w:bookmarkEnd w:id="6"/>
    <w:p w:rsidR="00000000" w:rsidDel="00000000" w:rsidP="00000000" w:rsidRDefault="00000000" w:rsidRPr="00000000" w14:paraId="0000002E">
      <w:pPr>
        <w:pStyle w:val="Heading2"/>
        <w:spacing w:after="0" w:before="0" w:line="360" w:lineRule="auto"/>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Idea Output Measurement &amp; Coding</w:t>
      </w:r>
    </w:p>
    <w:p w:rsidR="00000000" w:rsidDel="00000000" w:rsidP="00000000" w:rsidRDefault="00000000" w:rsidRPr="00000000" w14:paraId="0000002F">
      <w:pPr>
        <w:numPr>
          <w:ilvl w:val="0"/>
          <w:numId w:val="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Rubrics (TTCT-derived): Use the Torrance Tests approach</w:t>
      </w:r>
      <w:hyperlink r:id="rId10">
        <w:r w:rsidDel="00000000" w:rsidR="00000000" w:rsidRPr="00000000">
          <w:rPr>
            <w:rFonts w:ascii="Arial" w:cs="Arial" w:eastAsia="Arial" w:hAnsi="Arial"/>
            <w:color w:val="000000"/>
            <w:sz w:val="20"/>
            <w:szCs w:val="20"/>
            <w:rtl w:val="0"/>
          </w:rPr>
          <w:t xml:space="preserve">[4]</w:t>
        </w:r>
      </w:hyperlink>
      <w:r w:rsidDel="00000000" w:rsidR="00000000" w:rsidRPr="00000000">
        <w:rPr>
          <w:rFonts w:ascii="Arial" w:cs="Arial" w:eastAsia="Arial" w:hAnsi="Arial"/>
          <w:sz w:val="20"/>
          <w:szCs w:val="20"/>
          <w:rtl w:val="0"/>
        </w:rPr>
        <w:t xml:space="preserve">. For each idea, have raters score: </w:t>
      </w:r>
      <w:r w:rsidDel="00000000" w:rsidR="00000000" w:rsidRPr="00000000">
        <w:rPr>
          <w:rFonts w:ascii="Arial" w:cs="Arial" w:eastAsia="Arial" w:hAnsi="Arial"/>
          <w:i w:val="1"/>
          <w:iCs w:val="1"/>
          <w:sz w:val="20"/>
          <w:szCs w:val="20"/>
          <w:rtl w:val="0"/>
        </w:rPr>
        <w:t xml:space="preserve">Fluency</w:t>
      </w:r>
      <w:r w:rsidDel="00000000" w:rsidR="00000000" w:rsidRPr="00000000">
        <w:rPr>
          <w:rFonts w:ascii="Arial" w:cs="Arial" w:eastAsia="Arial" w:hAnsi="Arial"/>
          <w:sz w:val="20"/>
          <w:szCs w:val="20"/>
          <w:rtl w:val="0"/>
        </w:rPr>
        <w:t xml:space="preserve"> (count ideas per team), </w:t>
      </w:r>
      <w:r w:rsidDel="00000000" w:rsidR="00000000" w:rsidRPr="00000000">
        <w:rPr>
          <w:rFonts w:ascii="Arial" w:cs="Arial" w:eastAsia="Arial" w:hAnsi="Arial"/>
          <w:i w:val="1"/>
          <w:iCs w:val="1"/>
          <w:sz w:val="20"/>
          <w:szCs w:val="20"/>
          <w:rtl w:val="0"/>
        </w:rPr>
        <w:t xml:space="preserve">Originality</w:t>
      </w:r>
      <w:r w:rsidDel="00000000" w:rsidR="00000000" w:rsidRPr="00000000">
        <w:rPr>
          <w:rFonts w:ascii="Arial" w:cs="Arial" w:eastAsia="Arial" w:hAnsi="Arial"/>
          <w:sz w:val="20"/>
          <w:szCs w:val="20"/>
          <w:rtl w:val="0"/>
        </w:rPr>
        <w:t xml:space="preserve"> (1–5 scale for how uncommon), </w:t>
      </w:r>
      <w:r w:rsidDel="00000000" w:rsidR="00000000" w:rsidRPr="00000000">
        <w:rPr>
          <w:rFonts w:ascii="Arial" w:cs="Arial" w:eastAsia="Arial" w:hAnsi="Arial"/>
          <w:i w:val="1"/>
          <w:iCs w:val="1"/>
          <w:sz w:val="20"/>
          <w:szCs w:val="20"/>
          <w:rtl w:val="0"/>
        </w:rPr>
        <w:t xml:space="preserve">Flexibility</w:t>
      </w:r>
      <w:r w:rsidDel="00000000" w:rsidR="00000000" w:rsidRPr="00000000">
        <w:rPr>
          <w:rFonts w:ascii="Arial" w:cs="Arial" w:eastAsia="Arial" w:hAnsi="Arial"/>
          <w:sz w:val="20"/>
          <w:szCs w:val="20"/>
          <w:rtl w:val="0"/>
        </w:rPr>
        <w:t xml:space="preserve"> (number of different categories), </w:t>
      </w:r>
      <w:r w:rsidDel="00000000" w:rsidR="00000000" w:rsidRPr="00000000">
        <w:rPr>
          <w:rFonts w:ascii="Arial" w:cs="Arial" w:eastAsia="Arial" w:hAnsi="Arial"/>
          <w:i w:val="1"/>
          <w:iCs w:val="1"/>
          <w:sz w:val="20"/>
          <w:szCs w:val="20"/>
          <w:rtl w:val="0"/>
        </w:rPr>
        <w:t xml:space="preserve">Elaboration</w:t>
      </w:r>
      <w:r w:rsidDel="00000000" w:rsidR="00000000" w:rsidRPr="00000000">
        <w:rPr>
          <w:rFonts w:ascii="Arial" w:cs="Arial" w:eastAsia="Arial" w:hAnsi="Arial"/>
          <w:sz w:val="20"/>
          <w:szCs w:val="20"/>
          <w:rtl w:val="0"/>
        </w:rPr>
        <w:t xml:space="preserve"> (detail). Also rate </w:t>
      </w:r>
      <w:r w:rsidDel="00000000" w:rsidR="00000000" w:rsidRPr="00000000">
        <w:rPr>
          <w:rFonts w:ascii="Arial" w:cs="Arial" w:eastAsia="Arial" w:hAnsi="Arial"/>
          <w:i w:val="1"/>
          <w:iCs w:val="1"/>
          <w:sz w:val="20"/>
          <w:szCs w:val="20"/>
          <w:rtl w:val="0"/>
        </w:rPr>
        <w:t xml:space="preserve">Usefulness/Feasibility</w:t>
      </w:r>
      <w:r w:rsidDel="00000000" w:rsidR="00000000" w:rsidRPr="00000000">
        <w:rPr>
          <w:rFonts w:ascii="Arial" w:cs="Arial" w:eastAsia="Arial" w:hAnsi="Arial"/>
          <w:sz w:val="20"/>
          <w:szCs w:val="20"/>
          <w:rtl w:val="0"/>
        </w:rPr>
        <w:t xml:space="preserve"> on 1–7. Combine into team-level scores (mean or sum).</w:t>
      </w:r>
    </w:p>
    <w:p w:rsidR="00000000" w:rsidDel="00000000" w:rsidP="00000000" w:rsidRDefault="00000000" w:rsidRPr="00000000" w14:paraId="00000030">
      <w:pPr>
        <w:numPr>
          <w:ilvl w:val="0"/>
          <w:numId w:val="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Inter-rater Reliability: Two independent raters will score all ideas blind to condition. Compute Intraclass Correlation (ICC) for each rubric dimension. Retrain if ICC&lt;0.7. Discrepancies resolved by discussion or third rater.</w:t>
      </w:r>
    </w:p>
    <w:p w:rsidR="00000000" w:rsidDel="00000000" w:rsidP="00000000" w:rsidRDefault="00000000" w:rsidRPr="00000000" w14:paraId="00000031">
      <w:pPr>
        <w:numPr>
          <w:ilvl w:val="0"/>
          <w:numId w:val="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Idea Diversity Metric: Compute semantic diversity using text embeddings. For each team’s idea set, obtain embeddings (e.g. OpenAI’s text-embedding-ada-002). Calculate average pairwise cosine distance among ideas (or 1 minus similarity) to quantify diversity. This follows Doshi &amp; Hauser (2024)</w:t>
      </w:r>
      <w:hyperlink r:id="rId11">
        <w:r w:rsidDel="00000000" w:rsidR="00000000" w:rsidRPr="00000000">
          <w:rPr>
            <w:rFonts w:ascii="Arial" w:cs="Arial" w:eastAsia="Arial" w:hAnsi="Arial"/>
            <w:color w:val="000000"/>
            <w:sz w:val="20"/>
            <w:szCs w:val="20"/>
            <w:rtl w:val="0"/>
          </w:rPr>
          <w:t xml:space="preserve">[5]</w:t>
        </w:r>
      </w:hyperlink>
      <w:r w:rsidDel="00000000" w:rsidR="00000000" w:rsidRPr="00000000">
        <w:rPr>
          <w:rFonts w:ascii="Arial" w:cs="Arial" w:eastAsia="Arial" w:hAnsi="Arial"/>
          <w:sz w:val="20"/>
          <w:szCs w:val="20"/>
          <w:rtl w:val="0"/>
        </w:rPr>
        <w:t xml:space="preserve">. A higher average distance = more diverse output. Also compute cosine similarity of each idea to the team’s idea centroid.</w:t>
      </w:r>
    </w:p>
    <w:p w:rsidR="00000000" w:rsidDel="00000000" w:rsidP="00000000" w:rsidRDefault="00000000" w:rsidRPr="00000000" w14:paraId="00000032">
      <w:pPr>
        <w:numPr>
          <w:ilvl w:val="0"/>
          <w:numId w:val="8"/>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 Recording: Collect all raw ideas digitally (typed by participants or transcribed). Anonymise idea text if needed. Store ratings and questionnaires in a secure database.</w:t>
      </w:r>
    </w:p>
    <w:bookmarkStart w:colFirst="0" w:colLast="0" w:name="bookmark=id.aanws3kvjnpz" w:id="7"/>
    <w:bookmarkEnd w:id="7"/>
    <w:p w:rsidR="00000000" w:rsidDel="00000000" w:rsidP="00000000" w:rsidRDefault="00000000" w:rsidRPr="00000000" w14:paraId="00000033">
      <w:pPr>
        <w:pStyle w:val="Heading2"/>
        <w:spacing w:after="0" w:before="0" w:line="360" w:lineRule="auto"/>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4">
      <w:pPr>
        <w:pStyle w:val="Heading2"/>
        <w:numPr>
          <w:ilvl w:val="0"/>
          <w:numId w:val="2"/>
        </w:numPr>
        <w:spacing w:after="0" w:before="0" w:line="360" w:lineRule="auto"/>
        <w:ind w:left="36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Analysis and Reproducibility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Statistical Models: Use linear mixed-effects regression (e.g.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creativity score ~ condition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random intercept for team) to account for nested data (ideas within teams). For binary outcomes (e.g. originality hit), use generalized mixed models. ANOVA can compare means across conditions if assumptions hold.</w:t>
      </w:r>
    </w:p>
    <w:p w:rsidR="00000000" w:rsidDel="00000000" w:rsidP="00000000" w:rsidRDefault="00000000" w:rsidRPr="00000000" w14:paraId="00000036">
      <w:pPr>
        <w:numPr>
          <w:ilvl w:val="0"/>
          <w:numId w:val="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Power Analysis: Assuming medium effect (f=0.25), α=0.05, 4 groups, 15 per group yields ~80% power (G*Power guideline). Adjust sample size if smaller effects are expected.</w:t>
      </w:r>
    </w:p>
    <w:p w:rsidR="00000000" w:rsidDel="00000000" w:rsidP="00000000" w:rsidRDefault="00000000" w:rsidRPr="00000000" w14:paraId="00000037">
      <w:pPr>
        <w:numPr>
          <w:ilvl w:val="0"/>
          <w:numId w:val="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Robustness Checks: Conduct sensitivity analyses (e.g. nonparametric tests, include pre-survey covariates). Test for outliers. For Likert data, consider ordinal methods or transform to continuous scale.</w:t>
      </w:r>
    </w:p>
    <w:p w:rsidR="00000000" w:rsidDel="00000000" w:rsidP="00000000" w:rsidRDefault="00000000" w:rsidRPr="00000000" w14:paraId="00000038">
      <w:pPr>
        <w:numPr>
          <w:ilvl w:val="0"/>
          <w:numId w:val="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ML/Evaluation Metrics: If building predictive models (e.g. to predict idea quality), use appropriate metrics (e.g. R², RMSE for regression; F1/AUC for classification). For embedding-based analysis, report cosine similarity means.</w:t>
      </w:r>
    </w:p>
    <w:p w:rsidR="00000000" w:rsidDel="00000000" w:rsidP="00000000" w:rsidRDefault="00000000" w:rsidRPr="00000000" w14:paraId="00000039">
      <w:pPr>
        <w:numPr>
          <w:ilvl w:val="0"/>
          <w:numId w:val="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Interpretability (SHAP/LIME): If using ML models (e.g. to predict which ideas are rated creative), apply SHAP values for global feature importance</w:t>
      </w:r>
      <w:hyperlink r:id="rId12">
        <w:r w:rsidDel="00000000" w:rsidR="00000000" w:rsidRPr="00000000">
          <w:rPr>
            <w:rFonts w:ascii="Arial" w:cs="Arial" w:eastAsia="Arial" w:hAnsi="Arial"/>
            <w:color w:val="000000"/>
            <w:sz w:val="20"/>
            <w:szCs w:val="20"/>
            <w:rtl w:val="0"/>
          </w:rPr>
          <w:t xml:space="preserve">[6]</w:t>
        </w:r>
      </w:hyperlink>
      <w:r w:rsidDel="00000000" w:rsidR="00000000" w:rsidRPr="00000000">
        <w:rPr>
          <w:rFonts w:ascii="Arial" w:cs="Arial" w:eastAsia="Arial" w:hAnsi="Arial"/>
          <w:sz w:val="20"/>
          <w:szCs w:val="20"/>
          <w:rtl w:val="0"/>
        </w:rPr>
        <w:t xml:space="preserve">, and LIME for case-by-case explanation. For example, SHAP could identify which words/features drive predicted creativity.</w:t>
      </w:r>
    </w:p>
    <w:p w:rsidR="00000000" w:rsidDel="00000000" w:rsidP="00000000" w:rsidRDefault="00000000" w:rsidRPr="00000000" w14:paraId="0000003A">
      <w:pPr>
        <w:numPr>
          <w:ilvl w:val="0"/>
          <w:numId w:val="1"/>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Reproducibility Practices: Pre-register hypotheses and analysis plan before data collection. After the study, share anonymised data and code on an open repository (e.g. OSF or GitHub). Document all steps (data cleaning, coding rules). Use version control for code.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Preparation Required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need to work on recruitment scripts, consent wording, ethics items, software setup, prompt templates, and rater training to ensures thorough preparation. </w:t>
      </w:r>
    </w:p>
    <w:p w:rsidR="00000000" w:rsidDel="00000000" w:rsidP="00000000" w:rsidRDefault="00000000" w:rsidRPr="00000000" w14:paraId="0000003E">
      <w:pPr>
        <w:numPr>
          <w:ilvl w:val="0"/>
          <w:numId w:val="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Recruitment &amp; Consent: Prepare a script/emails describing the study as an “AI-assisted innovation workshop”. Include criteria (e.g. some background in innovation/design). Draft a consent form stating risks (e.g. minimal risk, no personal data in AI), data use (anonymised), and voluntary nature. Have an ethics checklist: check data privacy, anonymisation plan, and any vulnerable populations (likely none).</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Software/API: Ensure AI access (e.g. GPT-4 API key). Pre-test prompts. Set up shared online docs for notes, and secure storage for data.</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Templates: Provide facilitators with example prompts (from Section 2) for each role/condition. Test these offline.</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Facilitator guides: Scripted instructions, slides, and timers. Ensure familiarity with each condition’s procedure.</w:t>
      </w:r>
    </w:p>
    <w:p w:rsidR="00000000" w:rsidDel="00000000" w:rsidP="00000000" w:rsidRDefault="00000000" w:rsidRPr="00000000" w14:paraId="00000042">
      <w:pPr>
        <w:numPr>
          <w:ilvl w:val="0"/>
          <w:numId w:val="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Rater training: Before the workshop, train 2–3 independent raters on the creativity rubric. Use a sample idea set to practice scoring novelty and usefulness. Clarify rubric criteria (e.g. “novel = far from status quo”), and practice until inter-rater agreement is high (e.g. ICC &gt; 0.8). Document instructions.</w:t>
      </w:r>
    </w:p>
    <w:p w:rsidR="00000000" w:rsidDel="00000000" w:rsidP="00000000" w:rsidRDefault="00000000" w:rsidRPr="00000000" w14:paraId="00000043">
      <w:pPr>
        <w:numPr>
          <w:ilvl w:val="0"/>
          <w:numId w:val="6"/>
        </w:numPr>
        <w:spacing w:after="0" w:line="36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Logistics: Reserve a room, arrange refreshments, verify all tech (projector, internet). Have backup plan (e.g. a downloaded model or alternative brainstorming if API fails).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Handling: Do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 personal or sensitive data in prompts. Use a dedicated API key with data-privacy settings (e.g. OpenAI’s data usage opt-out). Transmit only de-identified text.</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Anonymisation: Assign participant IDs; store any recordings or transcripts under these IDs. In publications, avoid quoting personal info from ideas.</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Intellectual Property: Clarify in consent who owns ideas (typically participants). AI-generated suggestions have unclear IP; we recommend licensing all outputs under a research use license.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Safeguards: No deception is used. Inform participants about AI usage. Ensure participants can withdraw at any time. Check that using AI does not inadvertently expose copyrighted content (the AI prompts should not be fed proprietary data).</w:t>
      </w:r>
    </w:p>
    <w:p w:rsidR="00000000" w:rsidDel="00000000" w:rsidP="00000000" w:rsidRDefault="00000000" w:rsidRPr="00000000" w14:paraId="00000048">
      <w:pPr>
        <w:spacing w:after="0" w:line="360" w:lineRule="auto"/>
        <w:rPr>
          <w:rFonts w:ascii="Arial" w:cs="Arial" w:eastAsia="Arial" w:hAnsi="Arial"/>
          <w:sz w:val="20"/>
          <w:szCs w:val="20"/>
        </w:rPr>
      </w:pPr>
      <w:r w:rsidDel="00000000" w:rsidR="00000000" w:rsidRPr="00000000">
        <w:rPr>
          <w:rtl w:val="0"/>
        </w:rPr>
      </w:r>
    </w:p>
    <w:sectPr>
      <w:footerReference r:id="rId13" w:type="defaul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FollowedHyperlink">
    <w:name w:val="FollowedHyperlink"/>
    <w:basedOn w:val="DefaultParagraphFont"/>
    <w:rsid w:val="00350F59"/>
    <w:rPr>
      <w:color w:val="96607d" w:themeColor="followedHyperlink"/>
      <w:u w:val="single"/>
    </w:rPr>
  </w:style>
  <w:style w:type="paragraph" w:styleId="Footer">
    <w:name w:val="footer"/>
    <w:basedOn w:val="Normal"/>
    <w:link w:val="FooterChar"/>
    <w:rsid w:val="005E7FC6"/>
    <w:pPr>
      <w:tabs>
        <w:tab w:val="center" w:pos="4513"/>
        <w:tab w:val="right" w:pos="9026"/>
      </w:tabs>
      <w:spacing w:after="0"/>
    </w:pPr>
  </w:style>
  <w:style w:type="character" w:styleId="FooterChar" w:customStyle="1">
    <w:name w:val="Footer Char"/>
    <w:basedOn w:val="DefaultParagraphFont"/>
    <w:link w:val="Footer"/>
    <w:rsid w:val="005E7FC6"/>
  </w:style>
  <w:style w:type="character" w:styleId="PageNumber">
    <w:name w:val="page number"/>
    <w:basedOn w:val="DefaultParagraphFont"/>
    <w:rsid w:val="005E7FC6"/>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11244532/#:~:text=match%20at%20L856%20the%20cosine,AI%20ideas%2C%20we%20first%20randomly" TargetMode="External"/><Relationship Id="rId10" Type="http://schemas.openxmlformats.org/officeDocument/2006/relationships/hyperlink" Target="https://arxiv.org/html/2410.11877v1#:~:text=form%20a%20theoretical%20understanding%20of,proposed%20framework%20with%20a%20design" TargetMode="External"/><Relationship Id="rId13" Type="http://schemas.openxmlformats.org/officeDocument/2006/relationships/footer" Target="footer2.xml"/><Relationship Id="rId12" Type="http://schemas.openxmlformats.org/officeDocument/2006/relationships/hyperlink" Target="https://www.mdpi.com/2079-9292/14/23/4766#:~:text=techniques%20have%20been%20developed%2C%20among,foster%20trust%20in%20model%20predi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598-025-33100-9?error=cookies_not_supported&amp;code=09f68bf1-315b-4fd0-bba8-0672d0c8d1d9#:~:text=components%2C%20namely%20ethical%20risk%2C%20privacy,technology%20fit%20in%20creative%20domain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searchgate.net/publication/384475682_Generative_AI_Innovation_and_Trust#:~:text=Our%20paper%20explores%20the%20integration,deploying%20GenAI%20in%20innovation%20management" TargetMode="External"/><Relationship Id="rId8" Type="http://schemas.openxmlformats.org/officeDocument/2006/relationships/hyperlink" Target="https://www.scribd.com/document/515530718/Creative-Self-Efficacy-Scale-see-p-450#:~:text=Five%20items%20were%20used%20to,assess%20students%27%20creati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Zr4vvR3xWO6XvSA6yFNrBgrUg==">CgMxLjAaJAoBMBIfCh0IB0IZCgVBcmlhbBIQQXJpYWwgVW5pY29kZSBNUzIPaWQuMTF1bDh4NGlobjg0Mg9pZC5hbnB5a3FrOGd1bG8yD2lkLmloMDVud25mb3h4dTIPaWQub2FrNnRwYnM5cG53Mg5pZC5maDdhYTZueDZiMjIPaWQueWc3Y3dybjY2bmR1Mg9pZC40b3B1bm53cHpieXEyD2lkLmFhbndzM2t2am5wejgAciExQmlGbmJoUzhHRTZMQ0htNjU1bTk4S0FWazlaWG84b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2026-03-03T16:41:00Z</dcterms:created>
  <dc:creator>Sabrina Thornton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