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05/10-6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1205</w:t>
      </w:r>
    </w:p>
    <w:p>
      <w:pPr>
        <w:ind w:firstLine="709"/>
        <w:jc w:val="both"/>
      </w:pPr>
      <w:r>
        <w:t>Обнаружен дефект: Вертикальная трещина длиной 15см в квартире 1205. Требуется техническое обследование и устранение выявленных неисправностей.</w:t>
      </w:r>
    </w:p>
    <w:p>
      <w:pPr>
        <w:jc w:val="left"/>
      </w:pPr>
      <w:r>
        <w:t>Тип дефекта: Трещина в стене</w:t>
      </w:r>
    </w:p>
    <w:p>
      <w:pPr>
        <w:jc w:val="left"/>
      </w:pPr>
      <w:r>
        <w:t>Степень важности: высокая</w:t>
      </w:r>
    </w:p>
    <w:p>
      <w:pPr>
        <w:ind w:firstLine="709"/>
        <w:jc w:val="both"/>
      </w:pPr>
      <w:r>
        <w:t>Требуется: провести техническое обследование, составить план устранения дефекта, выполнить ремонтные работы в кратчайшие сроки.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