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задержка в поставке материалов для отделочных работ в квартире 1201, что влияет на общие сроки сдачи объекта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