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t>Руководителю проекта</w:t>
              <w:br/>
              <w:t>ООО «АВ Development»</w:t>
              <w:br/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ind w:left="284" w:firstLine="567"/>
        <w:jc w:val="both"/>
      </w:pPr>
      <w:r>
        <w:t>Уведомляем Вас о том, что задержка в поставке отделочных материалов для квартиры 1901, что влияет на общие сроки завершения работ</w:t>
      </w:r>
    </w:p>
    <w:p>
      <w:pPr>
        <w:ind w:firstLine="709"/>
        <w:jc w:val="both"/>
      </w:pPr>
      <w: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709"/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jc w:val="left"/>
      </w:pPr>
      <w:r>
        <w:t xml:space="preserve">            Заместитель директора и</w:t>
      </w:r>
    </w:p>
    <w:p>
      <w:pPr>
        <w:jc w:val="left"/>
      </w:pPr>
      <w:r>
        <w:t xml:space="preserve">            руководитель проекта строительства</w:t>
      </w:r>
    </w:p>
    <w:p>
      <w:pPr>
        <w:jc w:val="left"/>
      </w:pPr>
      <w:r>
        <w:t xml:space="preserve">            ООО «Интербилдинг»  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