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 w:before="0" w:line="269" w:lineRule="auto"/>
        <w:jc w:val="center"/>
      </w:pPr>
      <w:r>
        <w:rPr>
          <w:rFonts w:ascii="Calibri" w:hAnsi="Calibri"/>
          <w:b w:val="0"/>
          <w:i/>
          <w:color w:val="535C6B"/>
          <w:sz w:val="14"/>
        </w:rPr>
        <w:t xml:space="preserve">1ª versão do pôster · escala 1:3 (final 90 × 120 cm, retrato, 300 dpi) · citações em </w:t>
      </w:r>
      <w:r>
        <w:rPr>
          <w:rFonts w:ascii="Calibri" w:hAnsi="Calibri"/>
          <w:b/>
          <w:i/>
          <w:color w:val="0D4585"/>
          <w:sz w:val="14"/>
        </w:rPr>
        <w:t>azul</w:t>
      </w:r>
      <w:r>
        <w:rPr>
          <w:rFonts w:ascii="Calibri" w:hAnsi="Calibri"/>
          <w:b w:val="0"/>
          <w:i/>
          <w:color w:val="535C6B"/>
          <w:sz w:val="14"/>
        </w:rPr>
        <w:t xml:space="preserve"> = da revisão (NBR 10520:2023) · logo do V SIPES obrigatória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102"/>
        <w:gridCol w:w="10431"/>
      </w:tblGrid>
      <w:tr>
        <w:tc>
          <w:tcPr>
            <w:tcW w:type="dxa" w:w="7767"/>
            <w:shd w:val="clear" w:color="auto" w:fill="E8F4F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51999" cy="977483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ipes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1999" cy="97748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767"/>
            <w:shd w:val="clear" w:color="auto" w:fill="E8F4F8"/>
          </w:tcPr>
          <w:p/>
          <w:p>
            <w:pPr>
              <w:spacing w:after="40" w:before="0" w:line="269" w:lineRule="auto"/>
              <w:jc w:val="right"/>
            </w:pPr>
            <w:r>
              <w:rPr>
                <w:rFonts w:ascii="Calibri" w:hAnsi="Calibri"/>
                <w:b/>
                <w:i w:val="0"/>
                <w:color w:val="12303F"/>
                <w:sz w:val="21"/>
              </w:rPr>
              <w:t>V Simpósio Internacional de Pesquisa em Estilos de Vida &amp; Saúde</w:t>
            </w:r>
          </w:p>
          <w:p>
            <w:pPr>
              <w:spacing w:after="80" w:before="0" w:line="269" w:lineRule="auto"/>
              <w:jc w:val="right"/>
            </w:pPr>
            <w:r>
              <w:rPr>
                <w:rFonts w:ascii="Calibri" w:hAnsi="Calibri"/>
                <w:b w:val="0"/>
                <w:i w:val="0"/>
                <w:color w:val="535C6B"/>
                <w:sz w:val="18"/>
              </w:rPr>
              <w:t>Recife-PE · 25 a 27 de novembro de 2026 · Modalidade: Pôster</w:t>
            </w:r>
          </w:p>
        </w:tc>
      </w:tr>
    </w:tbl>
    <w:p>
      <w:pPr>
        <w:spacing w:after="20" w:before="0" w:line="269" w:lineRule="auto"/>
      </w:pPr>
      <w:r>
        <w:rPr>
          <w:rFonts w:ascii="Calibri" w:hAnsi="Calibri"/>
          <w:b w:val="0"/>
          <w:i w:val="0"/>
          <w:color w:val="12303F"/>
          <w:sz w:val="18"/>
        </w:rPr>
      </w:r>
    </w:p>
    <w:p>
      <w:pPr>
        <w:spacing w:after="60" w:before="0" w:line="269" w:lineRule="auto"/>
        <w:jc w:val="center"/>
      </w:pPr>
      <w:r>
        <w:rPr>
          <w:rFonts w:ascii="Calibri" w:hAnsi="Calibri"/>
          <w:b/>
          <w:i w:val="0"/>
          <w:color w:val="12303F"/>
          <w:sz w:val="32"/>
        </w:rPr>
        <w:t>Farol da Saúde &amp; Saneamento: um índice territorial de efetividade da alocação sanitária construído com dados abertos para os 185 municípios de Pernambuco, 2020–2024</w:t>
      </w:r>
    </w:p>
    <w:p>
      <w:pPr>
        <w:spacing w:after="20" w:before="0" w:line="269" w:lineRule="auto"/>
        <w:jc w:val="center"/>
      </w:pPr>
      <w:r>
        <w:rPr>
          <w:rFonts w:ascii="Calibri" w:hAnsi="Calibri"/>
          <w:b w:val="0"/>
          <w:i w:val="0"/>
          <w:color w:val="12303F"/>
          <w:sz w:val="20"/>
        </w:rPr>
        <w:t>SOBRENOME, Nome¹; SOBRENOME, Nome²  [até 6 autores]</w:t>
      </w:r>
    </w:p>
    <w:p>
      <w:pPr>
        <w:spacing w:after="20" w:before="0" w:line="269" w:lineRule="auto"/>
        <w:jc w:val="center"/>
      </w:pPr>
      <w:r>
        <w:rPr>
          <w:rFonts w:ascii="Calibri" w:hAnsi="Calibri"/>
          <w:b w:val="0"/>
          <w:i w:val="0"/>
          <w:color w:val="535C6B"/>
          <w:sz w:val="16"/>
        </w:rPr>
        <w:t>¹Instituição, cidade/UF · ²Instituição · e-mail do autor apresentador</w:t>
      </w:r>
    </w:p>
    <w:p>
      <w:pPr>
        <w:spacing w:after="100" w:before="0" w:line="269" w:lineRule="auto"/>
        <w:jc w:val="center"/>
      </w:pPr>
      <w:r>
        <w:rPr>
          <w:rFonts w:ascii="Calibri" w:hAnsi="Calibri"/>
          <w:b/>
          <w:i w:val="0"/>
          <w:color w:val="535C6B"/>
          <w:sz w:val="17"/>
        </w:rPr>
        <w:t xml:space="preserve">Palavras-chave (DeCS): </w:t>
      </w:r>
      <w:r>
        <w:rPr>
          <w:rFonts w:ascii="Calibri" w:hAnsi="Calibri"/>
          <w:b w:val="0"/>
          <w:i w:val="0"/>
          <w:color w:val="535C6B"/>
          <w:sz w:val="17"/>
        </w:rPr>
        <w:t>Saneamento; Alocação de Recursos; Gastos em Saúde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710"/>
        <w:gridCol w:w="7710"/>
      </w:tblGrid>
      <w:tr>
        <w:tc>
          <w:tcPr>
            <w:tcW w:type="dxa" w:w="7767"/>
          </w:tcPr>
          <w:p/>
          <w:p>
            <w:pPr>
              <w:spacing w:after="60" w:before="120" w:line="269" w:lineRule="auto"/>
              <w:shd w:val="clear" w:color="auto" w:fill="1C8CB0"/>
              <w:ind w:left="80"/>
            </w:pPr>
            <w:r>
              <w:rPr>
                <w:rFonts w:ascii="Calibri" w:hAnsi="Calibri"/>
                <w:b/>
                <w:i w:val="0"/>
                <w:color w:val="FFFFFF"/>
                <w:sz w:val="24"/>
              </w:rPr>
              <w:t>1  INTRODUÇÃO</w:t>
            </w:r>
          </w:p>
          <w:p>
            <w:pPr>
              <w:spacing w:after="80" w:before="0" w:line="269" w:lineRule="auto"/>
              <w:jc w:val="both"/>
            </w:pPr>
            <w:r>
              <w:rPr>
                <w:rFonts w:ascii="Calibri" w:hAnsi="Calibri"/>
                <w:b w:val="0"/>
                <w:i w:val="0"/>
                <w:color w:val="12303F"/>
                <w:sz w:val="18"/>
              </w:rPr>
              <w:t xml:space="preserve">A alocação de recursos públicos em saúde e a carga de doença não se distribuem de forma equivalente no território brasileiro; a alocação no SUS é descrita como subótima e como origem de disparidades regionais de acesso e de desfechos </w:t>
            </w:r>
            <w:r>
              <w:rPr>
                <w:rFonts w:ascii="Calibri" w:hAnsi="Calibri"/>
                <w:b/>
                <w:i w:val="0"/>
                <w:color w:val="0D4585"/>
                <w:sz w:val="18"/>
              </w:rPr>
              <w:t>(MASSUDA et al., 2018)</w:t>
            </w:r>
            <w:r>
              <w:rPr>
                <w:rFonts w:ascii="Calibri" w:hAnsi="Calibri"/>
                <w:b w:val="0"/>
                <w:i w:val="0"/>
                <w:color w:val="12303F"/>
                <w:sz w:val="18"/>
              </w:rPr>
              <w:t xml:space="preserve">. Os critérios legais de partilha de recursos, pensados para reduzir a desigualdade regional, ainda não foram efetivamente implementados </w:t>
            </w:r>
            <w:r>
              <w:rPr>
                <w:rFonts w:ascii="Calibri" w:hAnsi="Calibri"/>
                <w:b/>
                <w:i w:val="0"/>
                <w:color w:val="0D4585"/>
                <w:sz w:val="18"/>
              </w:rPr>
              <w:t>(CARVALHO, 2021)</w:t>
            </w:r>
            <w:r>
              <w:rPr>
                <w:rFonts w:ascii="Calibri" w:hAnsi="Calibri"/>
                <w:b w:val="0"/>
                <w:i w:val="0"/>
                <w:color w:val="12303F"/>
                <w:sz w:val="18"/>
              </w:rPr>
              <w:t xml:space="preserve">, e o teto de gastos comprime o recurso disponível por habitante ao longo do tempo </w:t>
            </w:r>
            <w:r>
              <w:rPr>
                <w:rFonts w:ascii="Calibri" w:hAnsi="Calibri"/>
                <w:b/>
                <w:i w:val="0"/>
                <w:color w:val="0D4585"/>
                <w:sz w:val="18"/>
              </w:rPr>
              <w:t>(FUNCIA, 2019)</w:t>
            </w:r>
            <w:r>
              <w:rPr>
                <w:rFonts w:ascii="Calibri" w:hAnsi="Calibri"/>
                <w:b w:val="0"/>
                <w:i w:val="0"/>
                <w:color w:val="12303F"/>
                <w:sz w:val="18"/>
              </w:rPr>
              <w:t xml:space="preserve">. Nesse quadro, o déficit de saneamento tem efeito mensurável: cerca de 16% das internações por doenças de veiculação hídrica no país seriam evitáveis com esgotamento adequado, poupando milhões em tratamento e centenas de milhares de dias de internação </w:t>
            </w:r>
            <w:r>
              <w:rPr>
                <w:rFonts w:ascii="Calibri" w:hAnsi="Calibri"/>
                <w:b/>
                <w:i w:val="0"/>
                <w:color w:val="0D4585"/>
                <w:sz w:val="18"/>
              </w:rPr>
              <w:t>(PAIVA; SOUZA, 2018)</w:t>
            </w:r>
            <w:r>
              <w:rPr>
                <w:rFonts w:ascii="Calibri" w:hAnsi="Calibri"/>
                <w:b w:val="0"/>
                <w:i w:val="0"/>
                <w:color w:val="12303F"/>
                <w:sz w:val="18"/>
              </w:rPr>
              <w:t xml:space="preserve"> — ainda que a magnitude atribuível ao saneamento seja menor do que o senso comum sugere e exija rigor na definição do indicador </w:t>
            </w:r>
            <w:r>
              <w:rPr>
                <w:rFonts w:ascii="Calibri" w:hAnsi="Calibri"/>
                <w:b/>
                <w:i w:val="0"/>
                <w:color w:val="0D4585"/>
                <w:sz w:val="18"/>
              </w:rPr>
              <w:t>(BARCELLOS, 2005)</w:t>
            </w:r>
            <w:r>
              <w:rPr>
                <w:rFonts w:ascii="Calibri" w:hAnsi="Calibri"/>
                <w:b w:val="0"/>
                <w:i w:val="0"/>
                <w:color w:val="12303F"/>
                <w:sz w:val="18"/>
              </w:rPr>
              <w:t>. Os portais de transparência informam quanto se gasta, mas não permitem avaliar se o gasto acompanha a necessidade de cada município.</w:t>
            </w:r>
          </w:p>
          <w:p>
            <w:pPr>
              <w:spacing w:after="60" w:before="120" w:line="269" w:lineRule="auto"/>
              <w:shd w:val="clear" w:color="auto" w:fill="1C8CB0"/>
              <w:ind w:left="80"/>
            </w:pPr>
            <w:r>
              <w:rPr>
                <w:rFonts w:ascii="Calibri" w:hAnsi="Calibri"/>
                <w:b/>
                <w:i w:val="0"/>
                <w:color w:val="FFFFFF"/>
                <w:sz w:val="24"/>
              </w:rPr>
              <w:t>2  OBJETIVOS</w:t>
            </w:r>
          </w:p>
          <w:p>
            <w:pPr>
              <w:spacing w:after="80" w:before="0" w:line="269" w:lineRule="auto"/>
              <w:jc w:val="both"/>
            </w:pPr>
            <w:r>
              <w:rPr>
                <w:rFonts w:ascii="Calibri" w:hAnsi="Calibri"/>
                <w:b w:val="0"/>
                <w:i w:val="0"/>
                <w:color w:val="12303F"/>
                <w:sz w:val="18"/>
              </w:rPr>
              <w:t>Desenvolver e disponibilizar o Farol da Saúde &amp; Saneamento (Farol-SS), monitor territorial de código aberto que quantifica o alinhamento entre necessidade sanitária e alocação de recursos nos 185 municípios de Pernambuco (2020–2024), e descrever o Índice de Efetividade da Alocação Sanitária (IEAS) e os alertas dele derivados.</w:t>
            </w:r>
          </w:p>
          <w:p>
            <w:pPr>
              <w:spacing w:after="60" w:before="120" w:line="269" w:lineRule="auto"/>
              <w:shd w:val="clear" w:color="auto" w:fill="1C8CB0"/>
              <w:ind w:left="80"/>
            </w:pPr>
            <w:r>
              <w:rPr>
                <w:rFonts w:ascii="Calibri" w:hAnsi="Calibri"/>
                <w:b/>
                <w:i w:val="0"/>
                <w:color w:val="FFFFFF"/>
                <w:sz w:val="24"/>
              </w:rPr>
              <w:t>3  METODOLOGIA</w:t>
            </w:r>
          </w:p>
          <w:p>
            <w:pPr>
              <w:spacing w:after="80" w:before="0" w:line="269" w:lineRule="auto"/>
              <w:jc w:val="both"/>
            </w:pPr>
            <w:r>
              <w:rPr>
                <w:rFonts w:ascii="Calibri" w:hAnsi="Calibri"/>
                <w:b w:val="0"/>
                <w:i w:val="0"/>
                <w:color w:val="12303F"/>
                <w:sz w:val="18"/>
              </w:rPr>
              <w:t xml:space="preserve">Estudo ecológico de base documental, com dados secundários de acesso aberto. Um pipeline reprodutível (camadas bronze–silver–gold; DuckDB sobre arquivos Parquet; proveniência com SHA-256) integrou oito fontes federais num grão único de município × ano (grade 185 × 5) — o mesmo princípio de reúso e cruzamento de bases que revela lacunas invisíveis a uma fonte isolada </w:t>
            </w:r>
            <w:r>
              <w:rPr>
                <w:rFonts w:ascii="Calibri" w:hAnsi="Calibri"/>
                <w:b/>
                <w:i w:val="0"/>
                <w:color w:val="0D4585"/>
                <w:sz w:val="18"/>
              </w:rPr>
              <w:t>(SILVA; LEITE; ALMEIDA, 2009)</w:t>
            </w:r>
            <w:r>
              <w:rPr>
                <w:rFonts w:ascii="Calibri" w:hAnsi="Calibri"/>
                <w:b w:val="0"/>
                <w:i w:val="0"/>
                <w:color w:val="12303F"/>
                <w:sz w:val="18"/>
              </w:rPr>
              <w:t>.</w:t>
            </w:r>
          </w:p>
          <w:p>
            <w:pPr>
              <w:spacing w:after="80" w:before="0" w:line="269" w:lineRule="auto"/>
              <w:jc w:val="both"/>
            </w:pPr>
            <w:r>
              <w:rPr>
                <w:rFonts w:ascii="Calibri" w:hAnsi="Calibri"/>
                <w:b w:val="0"/>
                <w:i w:val="0"/>
                <w:color w:val="12303F"/>
                <w:sz w:val="18"/>
              </w:rPr>
              <w:t xml:space="preserve">Como a completitude dos sistemas de informação em saúde brasileiros é heterogênea e sem método padronizado </w:t>
            </w:r>
            <w:r>
              <w:rPr>
                <w:rFonts w:ascii="Calibri" w:hAnsi="Calibri"/>
                <w:b/>
                <w:i w:val="0"/>
                <w:color w:val="0D4585"/>
                <w:sz w:val="18"/>
              </w:rPr>
              <w:t>(CORREIA; PADILHA; VASCONCELOS, 2014; LIMA et al., 2009)</w:t>
            </w:r>
            <w:r>
              <w:rPr>
                <w:rFonts w:ascii="Calibri" w:hAnsi="Calibri"/>
                <w:b w:val="0"/>
                <w:i w:val="0"/>
                <w:color w:val="12303F"/>
                <w:sz w:val="18"/>
              </w:rPr>
              <w:t xml:space="preserve">, adotou-se a regra do cinza: o índice não é publicado quando a fração de componentes presentes fica abaixo de 60% (Necessidade) ou 50% (Alocação). A despesa própria per capita vem do SIOPS — fonte já usada para mostrar que o gasto em saúde varia em ordem de grandeza entre municípios vizinhos </w:t>
            </w:r>
            <w:r>
              <w:rPr>
                <w:rFonts w:ascii="Calibri" w:hAnsi="Calibri"/>
                <w:b/>
                <w:i w:val="0"/>
                <w:color w:val="0D4585"/>
                <w:sz w:val="18"/>
              </w:rPr>
              <w:t>(SANTOS NETO et al., 2017)</w:t>
            </w:r>
            <w:r>
              <w:rPr>
                <w:rFonts w:ascii="Calibri" w:hAnsi="Calibri"/>
                <w:b w:val="0"/>
                <w:i w:val="0"/>
                <w:color w:val="12303F"/>
                <w:sz w:val="18"/>
              </w:rPr>
              <w:t xml:space="preserve">; o preço unitário de insumos vem do PNCP, base de um detector de sobrepreço inspirado na análise de compras públicas </w:t>
            </w:r>
            <w:r>
              <w:rPr>
                <w:rFonts w:ascii="Calibri" w:hAnsi="Calibri"/>
                <w:b/>
                <w:i w:val="0"/>
                <w:color w:val="0D4585"/>
                <w:sz w:val="18"/>
              </w:rPr>
              <w:t>(CHAVES; OSORIO-DE-CASTRO; OLIVEIRA, 2017)</w:t>
            </w:r>
            <w:r>
              <w:rPr>
                <w:rFonts w:ascii="Calibri" w:hAnsi="Calibri"/>
                <w:b w:val="0"/>
                <w:i w:val="0"/>
                <w:color w:val="12303F"/>
                <w:sz w:val="18"/>
              </w:rPr>
              <w:t>.</w:t>
            </w:r>
          </w:p>
          <w:p>
            <w:pPr>
              <w:spacing w:after="80" w:before="0" w:line="269" w:lineRule="auto"/>
              <w:jc w:val="both"/>
            </w:pPr>
            <w:r>
              <w:rPr>
                <w:rFonts w:ascii="Calibri" w:hAnsi="Calibri"/>
                <w:b w:val="0"/>
                <w:i w:val="0"/>
                <w:color w:val="12303F"/>
                <w:sz w:val="18"/>
              </w:rPr>
              <w:t>O IEAS combina dois eixos — Necessidade (epidemiológico 0,40; saneamento 0,35; vulnerabilidade 0,25) e Alocação (repasse federal 0,35; execução própria 0,40; contratação de insumos 0,25, em R$/hab deflacionados) —, cada um convertido em ranque percentil no estado. gap = ranque(A) − ranque(N) colore um semáforo de quatro cores; quatro detectores geram alertas explicáveis em linguagem natural.</w:t>
            </w:r>
          </w:p>
          <w:p>
            <w:pPr>
              <w:spacing w:before="6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176000" cy="4155082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iagrama-ieas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76000" cy="415508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 w:before="0" w:line="26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535C6B"/>
                <w:sz w:val="15"/>
              </w:rPr>
              <w:t>Figura 1 – Construção do IEAS. Fonte: os autores (2026).</w:t>
            </w:r>
          </w:p>
        </w:tc>
        <w:tc>
          <w:tcPr>
            <w:tcW w:type="dxa" w:w="7767"/>
          </w:tcPr>
          <w:p/>
          <w:p>
            <w:pPr>
              <w:spacing w:after="60" w:before="120" w:line="269" w:lineRule="auto"/>
              <w:shd w:val="clear" w:color="auto" w:fill="1C8CB0"/>
              <w:ind w:left="80"/>
            </w:pPr>
            <w:r>
              <w:rPr>
                <w:rFonts w:ascii="Calibri" w:hAnsi="Calibri"/>
                <w:b/>
                <w:i w:val="0"/>
                <w:color w:val="FFFFFF"/>
                <w:sz w:val="24"/>
              </w:rPr>
              <w:t>4  RESULTADOS</w:t>
            </w:r>
          </w:p>
          <w:p>
            <w:pPr>
              <w:spacing w:after="80" w:before="0" w:line="269" w:lineRule="auto"/>
              <w:jc w:val="both"/>
            </w:pPr>
            <w:r>
              <w:rPr>
                <w:rFonts w:ascii="Calibri" w:hAnsi="Calibri"/>
                <w:b w:val="0"/>
                <w:i w:val="0"/>
                <w:color w:val="12303F"/>
                <w:sz w:val="18"/>
              </w:rPr>
              <w:t>O IEAS foi calculado para 921 dos 925 município-anos (185 de 185 em 2024). A distribuição do semáforo mostra 383 município-anos alinhados, 202 em necessidade não atendida, 176 com alocação acima da necessidade e 160 com subalocação leve (Figura 2).</w:t>
            </w:r>
          </w:p>
          <w:p>
            <w:pPr>
              <w:spacing w:before="6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464000" cy="2203578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1_farol_dist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64000" cy="220357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 w:before="0" w:line="26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535C6B"/>
                <w:sz w:val="15"/>
              </w:rPr>
              <w:t>Figura 2 – Distribuição do farol, PE, 2020–2024. Fonte: Farol-SS (2026).</w:t>
            </w:r>
          </w:p>
          <w:p>
            <w:pPr>
              <w:spacing w:after="80" w:before="0" w:line="269" w:lineRule="auto"/>
              <w:jc w:val="both"/>
            </w:pPr>
            <w:r>
              <w:rPr>
                <w:rFonts w:ascii="Calibri" w:hAnsi="Calibri"/>
                <w:b w:val="0"/>
                <w:i w:val="0"/>
                <w:color w:val="12303F"/>
                <w:sz w:val="18"/>
              </w:rPr>
              <w:t>A leitura muda ao longo do período: 2020–2022 concentram os municípios em necessidade não atendida e 2023–2024 pendem para verde e azul (Figura 3) — virada em parte real (repasse e execução crescem) e em parte sensível ao peso da camada de repasse federal (proxy).</w:t>
            </w:r>
          </w:p>
          <w:p>
            <w:pPr>
              <w:spacing w:before="6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464000" cy="2688203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2_farol_an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64000" cy="268820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 w:before="0" w:line="26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535C6B"/>
                <w:sz w:val="15"/>
              </w:rPr>
              <w:t>Figura 3 – Farol por ano. Fonte: Farol-SS (2026).</w:t>
            </w:r>
          </w:p>
          <w:p>
            <w:pPr>
              <w:spacing w:after="80" w:before="0" w:line="269" w:lineRule="auto"/>
              <w:jc w:val="both"/>
            </w:pPr>
            <w:r>
              <w:rPr>
                <w:rFonts w:ascii="Calibri" w:hAnsi="Calibri"/>
                <w:b w:val="0"/>
                <w:i w:val="0"/>
                <w:color w:val="12303F"/>
                <w:sz w:val="18"/>
              </w:rPr>
              <w:t>Em 2024, a maior parte dos municípios está sobre ou acima da diagonal necessidade = alocação; os pontos abaixo dela são os faróis amarelo e vermelho (Figura 4).</w:t>
            </w:r>
          </w:p>
          <w:p>
            <w:pPr>
              <w:spacing w:before="6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456000" cy="3445132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3_scatter_2024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56000" cy="344513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 w:before="0" w:line="26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535C6B"/>
                <w:sz w:val="15"/>
              </w:rPr>
              <w:t>Figura 4 – Necessidade × alocação (ranque percentil), PE, 2024. Fonte: Farol-SS (2026).</w:t>
            </w:r>
          </w:p>
          <w:p>
            <w:pPr>
              <w:spacing w:after="80" w:before="0" w:line="269" w:lineRule="auto"/>
              <w:jc w:val="both"/>
            </w:pPr>
            <w:r>
              <w:rPr>
                <w:rFonts w:ascii="Calibri" w:hAnsi="Calibri"/>
                <w:b w:val="0"/>
                <w:i w:val="0"/>
                <w:color w:val="12303F"/>
                <w:sz w:val="18"/>
              </w:rPr>
              <w:t xml:space="preserve">Foram emitidos 777 alertas explicáveis; 570 de suspeita de desabastecimento de insumos, concentrados nos anos de surto de arbovirose (Figura 5) — padrão coerente com a sensibilidade da carga de diarreia a fatores ambientais e climáticos </w:t>
            </w:r>
            <w:r>
              <w:rPr>
                <w:rFonts w:ascii="Calibri" w:hAnsi="Calibri"/>
                <w:b/>
                <w:i w:val="0"/>
                <w:color w:val="0D4585"/>
                <w:sz w:val="18"/>
              </w:rPr>
              <w:t>(DUARTE et al., 2019)</w:t>
            </w:r>
            <w:r>
              <w:rPr>
                <w:rFonts w:ascii="Calibri" w:hAnsi="Calibri"/>
                <w:b w:val="0"/>
                <w:i w:val="0"/>
                <w:color w:val="12303F"/>
                <w:sz w:val="18"/>
              </w:rPr>
              <w:t>.</w:t>
            </w:r>
          </w:p>
          <w:p>
            <w:pPr>
              <w:spacing w:before="6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464000" cy="2145087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4_desabastecimento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64000" cy="214508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 w:before="0" w:line="26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535C6B"/>
                <w:sz w:val="15"/>
              </w:rPr>
              <w:t>Figura 5 – Alertas de desabastecimento por ano. Fonte: Farol-SS (2026).</w:t>
            </w:r>
          </w:p>
          <w:p>
            <w:pPr>
              <w:spacing w:after="40" w:before="80" w:line="269" w:lineRule="auto"/>
            </w:pPr>
            <w:r>
              <w:rPr>
                <w:rFonts w:ascii="Calibri" w:hAnsi="Calibri"/>
                <w:b/>
                <w:i w:val="0"/>
                <w:color w:val="12303F"/>
                <w:sz w:val="17"/>
              </w:rPr>
              <w:t>Tabela 1 – Síntese dos resultados (2020–2024)</w:t>
            </w:r>
          </w:p>
          <w:tbl>
            <w:tblPr>
              <w:tblStyle w:val="LightGrid-Accent1"/>
              <w:tblW w:type="auto" w:w="0"/>
              <w:tblLook w:firstColumn="1" w:firstRow="1" w:lastColumn="0" w:lastRow="0" w:noHBand="0" w:noVBand="1" w:val="04A0"/>
            </w:tblPr>
            <w:tblGrid>
              <w:gridCol w:w="3883"/>
              <w:gridCol w:w="3883"/>
            </w:tblGrid>
            <w:tr>
              <w:tc>
                <w:tcPr>
                  <w:tcW w:type="dxa" w:w="2608"/>
                </w:tcPr>
                <w:p>
                  <w:r>
                    <w:rPr>
                      <w:b/>
                      <w:sz w:val="16"/>
                    </w:rPr>
                    <w:t>Município-anos com IEAS calculado</w:t>
                  </w:r>
                </w:p>
              </w:tc>
              <w:tc>
                <w:tcPr>
                  <w:tcW w:type="dxa" w:w="4989"/>
                </w:tcPr>
                <w:p>
                  <w:r>
                    <w:rPr>
                      <w:sz w:val="16"/>
                    </w:rPr>
                    <w:t>921 de 925 (185/185 em 2024)</w:t>
                  </w:r>
                </w:p>
              </w:tc>
            </w:tr>
            <w:tr>
              <w:tc>
                <w:tcPr>
                  <w:tcW w:type="dxa" w:w="2608"/>
                </w:tcPr>
                <w:p>
                  <w:r>
                    <w:rPr>
                      <w:b/>
                      <w:sz w:val="16"/>
                    </w:rPr>
                    <w:t>Farol — total (todos os anos)</w:t>
                  </w:r>
                </w:p>
              </w:tc>
              <w:tc>
                <w:tcPr>
                  <w:tcW w:type="dxa" w:w="4989"/>
                </w:tcPr>
                <w:p>
                  <w:r>
                    <w:rPr>
                      <w:sz w:val="16"/>
                    </w:rPr>
                    <w:t>383 verde · 202 vermelho · 176 azul · 160 amarelo · 4 cinza</w:t>
                  </w:r>
                </w:p>
              </w:tc>
            </w:tr>
            <w:tr>
              <w:tc>
                <w:tcPr>
                  <w:tcW w:type="dxa" w:w="2608"/>
                </w:tcPr>
                <w:p>
                  <w:r>
                    <w:rPr>
                      <w:b/>
                      <w:sz w:val="16"/>
                    </w:rPr>
                    <w:t>Farol — 2024</w:t>
                  </w:r>
                </w:p>
              </w:tc>
              <w:tc>
                <w:tcPr>
                  <w:tcW w:type="dxa" w:w="4989"/>
                </w:tcPr>
                <w:p>
                  <w:r>
                    <w:rPr>
                      <w:sz w:val="16"/>
                    </w:rPr>
                    <w:t>104 verde · 60 azul · 19 amarelo · 2 vermelho</w:t>
                  </w:r>
                </w:p>
              </w:tc>
            </w:tr>
            <w:tr>
              <w:tc>
                <w:tcPr>
                  <w:tcW w:type="dxa" w:w="2608"/>
                </w:tcPr>
                <w:p>
                  <w:r>
                    <w:rPr>
                      <w:b/>
                      <w:sz w:val="16"/>
                    </w:rPr>
                    <w:t>Alertas emitidos</w:t>
                  </w:r>
                </w:p>
              </w:tc>
              <w:tc>
                <w:tcPr>
                  <w:tcW w:type="dxa" w:w="4989"/>
                </w:tcPr>
                <w:p>
                  <w:r>
                    <w:rPr>
                      <w:sz w:val="16"/>
                    </w:rPr>
                    <w:t>777 (570 desabastecimento · 202 desalinhamento · 4 resíduo · 1 sobrepreço)</w:t>
                  </w:r>
                </w:p>
              </w:tc>
            </w:tr>
            <w:tr>
              <w:tc>
                <w:tcPr>
                  <w:tcW w:type="dxa" w:w="2608"/>
                </w:tcPr>
                <w:p>
                  <w:r>
                    <w:rPr>
                      <w:b/>
                      <w:sz w:val="16"/>
                    </w:rPr>
                    <w:t>Cobertura mediana de saneamento (Censo 2022)</w:t>
                  </w:r>
                </w:p>
              </w:tc>
              <w:tc>
                <w:tcPr>
                  <w:tcW w:type="dxa" w:w="4989"/>
                </w:tcPr>
                <w:p>
                  <w:r>
                    <w:rPr>
                      <w:sz w:val="16"/>
                    </w:rPr>
                    <w:t>água 64% · esgoto 48% · coleta de lixo 74%</w:t>
                  </w:r>
                </w:p>
              </w:tc>
            </w:tr>
          </w:tbl>
          <w:p/>
          <w:p>
            <w:pPr>
              <w:spacing w:after="60" w:before="0" w:line="269" w:lineRule="auto"/>
            </w:pPr>
            <w:r>
              <w:rPr>
                <w:rFonts w:ascii="Calibri" w:hAnsi="Calibri"/>
                <w:b w:val="0"/>
                <w:i w:val="0"/>
                <w:color w:val="12303F"/>
                <w:sz w:val="18"/>
              </w:rPr>
            </w:r>
          </w:p>
          <w:p>
            <w:pPr>
              <w:spacing w:after="60" w:before="120" w:line="269" w:lineRule="auto"/>
              <w:shd w:val="clear" w:color="auto" w:fill="1C8CB0"/>
              <w:ind w:left="80"/>
            </w:pPr>
            <w:r>
              <w:rPr>
                <w:rFonts w:ascii="Calibri" w:hAnsi="Calibri"/>
                <w:b/>
                <w:i w:val="0"/>
                <w:color w:val="FFFFFF"/>
                <w:sz w:val="24"/>
              </w:rPr>
              <w:t>5  CONCLUSÃO</w:t>
            </w:r>
          </w:p>
          <w:p>
            <w:pPr>
              <w:spacing w:after="80" w:before="0" w:line="269" w:lineRule="auto"/>
              <w:jc w:val="both"/>
            </w:pPr>
            <w:r>
              <w:rPr>
                <w:rFonts w:ascii="Calibri" w:hAnsi="Calibri"/>
                <w:b w:val="0"/>
                <w:i w:val="0"/>
                <w:color w:val="12303F"/>
                <w:sz w:val="18"/>
              </w:rPr>
              <w:t xml:space="preserve">É viável, a partir exclusivamente de dados abertos, produzir um instrumento reprodutível e explicável de monitoramento territorial — resposta à necessidade reconhecida de acompanhar as desigualdades em saúde por região e grupo social </w:t>
            </w:r>
            <w:r>
              <w:rPr>
                <w:rFonts w:ascii="Calibri" w:hAnsi="Calibri"/>
                <w:b/>
                <w:i w:val="0"/>
                <w:color w:val="0D4585"/>
                <w:sz w:val="18"/>
              </w:rPr>
              <w:t>(VIACAVA et al., 2019)</w:t>
            </w:r>
            <w:r>
              <w:rPr>
                <w:rFonts w:ascii="Calibri" w:hAnsi="Calibri"/>
                <w:b w:val="0"/>
                <w:i w:val="0"/>
                <w:color w:val="12303F"/>
                <w:sz w:val="18"/>
              </w:rPr>
              <w:t xml:space="preserve"> sem novo inquérito. O índice atua no plano da dotação de recursos frente à necessidade, um dos planos da equidade no financiamento </w:t>
            </w:r>
            <w:r>
              <w:rPr>
                <w:rFonts w:ascii="Calibri" w:hAnsi="Calibri"/>
                <w:b/>
                <w:i w:val="0"/>
                <w:color w:val="0D4585"/>
                <w:sz w:val="18"/>
              </w:rPr>
              <w:t>(COHN, 2005)</w:t>
            </w:r>
            <w:r>
              <w:rPr>
                <w:rFonts w:ascii="Calibri" w:hAnsi="Calibri"/>
                <w:b w:val="0"/>
                <w:i w:val="0"/>
                <w:color w:val="12303F"/>
                <w:sz w:val="18"/>
              </w:rPr>
              <w:t xml:space="preserve">, e funciona como ferramenta de transparência e controle social sobre um direito — o saneamento — que condiciona a saúde </w:t>
            </w:r>
            <w:r>
              <w:rPr>
                <w:rFonts w:ascii="Calibri" w:hAnsi="Calibri"/>
                <w:b/>
                <w:i w:val="0"/>
                <w:color w:val="0D4585"/>
                <w:sz w:val="18"/>
              </w:rPr>
              <w:t>(NEVES-SILVA; HELLER, 2016)</w:t>
            </w:r>
            <w:r>
              <w:rPr>
                <w:rFonts w:ascii="Calibri" w:hAnsi="Calibri"/>
                <w:b w:val="0"/>
                <w:i w:val="0"/>
                <w:color w:val="12303F"/>
                <w:sz w:val="18"/>
              </w:rPr>
              <w:t xml:space="preserve">. Como a eficiência do gasto municipal não acompanha a riqueza </w:t>
            </w:r>
            <w:r>
              <w:rPr>
                <w:rFonts w:ascii="Calibri" w:hAnsi="Calibri"/>
                <w:b/>
                <w:i w:val="0"/>
                <w:color w:val="0D4585"/>
                <w:sz w:val="18"/>
              </w:rPr>
              <w:t>(RODRIGUES et al., 2021)</w:t>
            </w:r>
            <w:r>
              <w:rPr>
                <w:rFonts w:ascii="Calibri" w:hAnsi="Calibri"/>
                <w:b w:val="0"/>
                <w:i w:val="0"/>
                <w:color w:val="12303F"/>
                <w:sz w:val="18"/>
              </w:rPr>
              <w:t>, olhar necessidade × alocação, e não valores absolutos, é o recorte mais informativo. Limitações: a camada de repasse federal é um proxy; o saneamento é um retrato de 2022; a adesão ao PNCP cresce ano a ano.</w:t>
            </w:r>
          </w:p>
        </w:tc>
      </w:tr>
    </w:tbl>
    <w:p>
      <w:pPr>
        <w:spacing w:after="40" w:before="0" w:line="269" w:lineRule="auto"/>
      </w:pPr>
      <w:r>
        <w:rPr>
          <w:rFonts w:ascii="Calibri" w:hAnsi="Calibri"/>
          <w:b w:val="0"/>
          <w:i w:val="0"/>
          <w:color w:val="12303F"/>
          <w:sz w:val="18"/>
        </w:rPr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1679"/>
        <w:gridCol w:w="3742"/>
      </w:tblGrid>
      <w:tr>
        <w:tc>
          <w:tcPr>
            <w:tcW w:type="dxa" w:w="7767"/>
            <w:shd w:val="clear" w:color="auto" w:fill="E8F4F8"/>
          </w:tcPr>
          <w:p/>
          <w:p>
            <w:pPr>
              <w:spacing w:after="40" w:before="0" w:line="269" w:lineRule="auto"/>
            </w:pPr>
            <w:r>
              <w:rPr>
                <w:rFonts w:ascii="Calibri" w:hAnsi="Calibri"/>
                <w:b/>
                <w:i w:val="0"/>
                <w:color w:val="12303F"/>
                <w:sz w:val="16"/>
              </w:rPr>
              <w:t>REFERÊNCIAS (ABNT NBR 6023:2018)</w:t>
            </w:r>
          </w:p>
          <w:p>
            <w:pPr>
              <w:spacing w:after="20" w:before="0" w:line="240" w:lineRule="auto"/>
              <w:ind w:left="0"/>
            </w:pPr>
            <w:r>
              <w:rPr>
                <w:rFonts w:ascii="Calibri" w:hAnsi="Calibri"/>
                <w:b w:val="0"/>
                <w:i w:val="0"/>
                <w:color w:val="12303F"/>
                <w:sz w:val="13"/>
              </w:rPr>
              <w:t>BARCELLOS, C. A lenda urbana sobre internações devidas à falta de saneamento. Cadernos de Saúde Pública, v. 21, n. 4, p. 996-997, 2005. DOI: https://doi.org/10.1590/s0102-311x2005000400001. Acesso em: [DATA].</w:t>
            </w:r>
          </w:p>
          <w:p>
            <w:pPr>
              <w:spacing w:after="20" w:before="0" w:line="240" w:lineRule="auto"/>
              <w:ind w:left="0"/>
            </w:pPr>
            <w:r>
              <w:rPr>
                <w:rFonts w:ascii="Calibri" w:hAnsi="Calibri"/>
                <w:b w:val="0"/>
                <w:i w:val="0"/>
                <w:color w:val="12303F"/>
                <w:sz w:val="13"/>
              </w:rPr>
              <w:t>CARVALHO, G. d. P. Desigualdades regionais e o papel dos recursos federais no SUS: fatores políticos condicionam a alocação de recursos?. Ciência &amp; Saúde Coletiva, v. 26, n. suppl 2, p. 3409-3421, 2021. DOI: https://doi.org/10.1590/1413-81232021269.2.31192019. Acesso em: [DATA].</w:t>
            </w:r>
          </w:p>
          <w:p>
            <w:pPr>
              <w:spacing w:after="20" w:before="0" w:line="240" w:lineRule="auto"/>
              <w:ind w:left="0"/>
            </w:pPr>
            <w:r>
              <w:rPr>
                <w:rFonts w:ascii="Calibri" w:hAnsi="Calibri"/>
                <w:b w:val="0"/>
                <w:i w:val="0"/>
                <w:color w:val="12303F"/>
                <w:sz w:val="13"/>
              </w:rPr>
              <w:t>CHAVES, G. C.; OSORIO-DE-CASTRO, C. G. S.; OLIVEIRA, M. A. Compras públicas de medicamentos para hepatite C no Brasil no período de 2005 a 2015. Ciência &amp; Saúde Coletiva, v. 22, n. 8, p. 2527-2538, 2017. DOI: https://doi.org/10.1590/1413-81232017228.05602017. Acesso em: [DATA].</w:t>
            </w:r>
          </w:p>
          <w:p>
            <w:pPr>
              <w:spacing w:after="20" w:before="0" w:line="240" w:lineRule="auto"/>
              <w:ind w:left="0"/>
            </w:pPr>
            <w:r>
              <w:rPr>
                <w:rFonts w:ascii="Calibri" w:hAnsi="Calibri"/>
                <w:b w:val="0"/>
                <w:i w:val="0"/>
                <w:color w:val="12303F"/>
                <w:sz w:val="13"/>
              </w:rPr>
              <w:t>COHN, A. Eqüidade, saúde e critérios para alocação de recursos. Ciência &amp; Saúde Coletiva, v. 10, n. 2, p. 287-288, 2005. DOI: https://doi.org/10.1590/s1413-81232005000200003. Acesso em: [DATA].</w:t>
            </w:r>
          </w:p>
          <w:p>
            <w:pPr>
              <w:spacing w:after="20" w:before="0" w:line="240" w:lineRule="auto"/>
              <w:ind w:left="0"/>
            </w:pPr>
            <w:r>
              <w:rPr>
                <w:rFonts w:ascii="Calibri" w:hAnsi="Calibri"/>
                <w:b w:val="0"/>
                <w:i w:val="0"/>
                <w:color w:val="12303F"/>
                <w:sz w:val="13"/>
              </w:rPr>
              <w:t>CORREIA, L. O. d. S.; PADILHA, B. M.; VASCONCELOS, S. M. L. Métodos para avaliar a completitude dos dados dos sistemas de informação em saúde do Brasil: uma revisão sistemática. Ciência &amp; Saúde Coletiva, v. 19, n. 11, p. 4467-4478, 2014. DOI: https://doi.org/10.1590/1413-812320141911.02822013. Acesso em: [DATA].</w:t>
            </w:r>
          </w:p>
          <w:p>
            <w:pPr>
              <w:spacing w:after="20" w:before="0" w:line="240" w:lineRule="auto"/>
              <w:ind w:left="0"/>
            </w:pPr>
            <w:r>
              <w:rPr>
                <w:rFonts w:ascii="Calibri" w:hAnsi="Calibri"/>
                <w:b w:val="0"/>
                <w:i w:val="0"/>
                <w:color w:val="12303F"/>
                <w:sz w:val="13"/>
              </w:rPr>
              <w:t>DUARTE, J. L. et al. Variabilidade climática e internações por doenças diarreicas infecciosas em um município da Amazônia Ocidental brasileira. Ciência &amp; Saúde Coletiva, v. 24, n. 8, p. 2959-2970, 2019. DOI: https://doi.org/10.1590/1413-81232018248.21232017. Acesso em: [DATA].</w:t>
            </w:r>
          </w:p>
          <w:p>
            <w:pPr>
              <w:spacing w:after="20" w:before="0" w:line="240" w:lineRule="auto"/>
              <w:ind w:left="0"/>
            </w:pPr>
            <w:r>
              <w:rPr>
                <w:rFonts w:ascii="Calibri" w:hAnsi="Calibri"/>
                <w:b w:val="0"/>
                <w:i w:val="0"/>
                <w:color w:val="12303F"/>
                <w:sz w:val="13"/>
              </w:rPr>
              <w:t>FUNCIA, F. R. Subfinanciamento e orçamento federal do SUS: referências preliminares para a alocação adicional de recursos. Ciência &amp; Saúde Coletiva, v. 24, n. 12, p. 4405-4415, 2019. DOI: https://doi.org/10.1590/1413-812320182412.25892019. Acesso em: [DATA].</w:t>
            </w:r>
          </w:p>
          <w:p>
            <w:pPr>
              <w:spacing w:after="20" w:before="0" w:line="240" w:lineRule="auto"/>
              <w:ind w:left="0"/>
            </w:pPr>
            <w:r>
              <w:rPr>
                <w:rFonts w:ascii="Calibri" w:hAnsi="Calibri"/>
                <w:b w:val="0"/>
                <w:i w:val="0"/>
                <w:color w:val="12303F"/>
                <w:sz w:val="13"/>
              </w:rPr>
              <w:t>LIMA, C. R. d. A. et al. Revisão das dimensões de qualidade dos dados e métodos aplicados na avaliação dos sistemas de informação em saúde. Cadernos de Saúde Pública, v. 25, n. 10, p. 2095-2109, 2009. DOI: https://doi.org/10.1590/s0102-311x2009001000002. Acesso em: [DATA].</w:t>
            </w:r>
          </w:p>
          <w:p>
            <w:pPr>
              <w:spacing w:after="20" w:before="0" w:line="240" w:lineRule="auto"/>
              <w:ind w:left="0"/>
            </w:pPr>
            <w:r>
              <w:rPr>
                <w:rFonts w:ascii="Calibri" w:hAnsi="Calibri"/>
                <w:b w:val="0"/>
                <w:i w:val="0"/>
                <w:color w:val="12303F"/>
                <w:sz w:val="13"/>
              </w:rPr>
              <w:t>MASSUDA, A. et al. The Brazilian health system at crossroads: progress, crisis and resilience. BMJ Global Health, v. 3, n. 4, p. e000829, 2018. DOI: https://doi.org/10.1136/bmjgh-2018-000829. Acesso em: [DATA].</w:t>
            </w:r>
          </w:p>
          <w:p>
            <w:pPr>
              <w:spacing w:after="20" w:before="0" w:line="240" w:lineRule="auto"/>
              <w:ind w:left="0"/>
            </w:pPr>
            <w:r>
              <w:rPr>
                <w:rFonts w:ascii="Calibri" w:hAnsi="Calibri"/>
                <w:b w:val="0"/>
                <w:i w:val="0"/>
                <w:color w:val="12303F"/>
                <w:sz w:val="13"/>
              </w:rPr>
              <w:t>NEVES-SILVA, P.; HELLER, L. O direito humano à água e ao esgotamento sanitário como instrumento para promoção da saúde de populações vulneráveis. Ciência &amp; Saúde Coletiva, v. 21, n. 6, p. 1861-1870, 2016. DOI: https://doi.org/10.1590/1413-81232015216.03422016. Acesso em: [DATA].</w:t>
            </w:r>
          </w:p>
          <w:p>
            <w:pPr>
              <w:spacing w:after="20" w:before="0" w:line="240" w:lineRule="auto"/>
              <w:ind w:left="0"/>
            </w:pPr>
            <w:r>
              <w:rPr>
                <w:rFonts w:ascii="Calibri" w:hAnsi="Calibri"/>
                <w:b w:val="0"/>
                <w:i w:val="0"/>
                <w:color w:val="12303F"/>
                <w:sz w:val="13"/>
              </w:rPr>
              <w:t>PAIVA, R. F. d. P. d. S.; SOUZA, M. F. d. P. d. Associação entre condições socioeconômicas, sanitárias e de atenção básica e a morbidade hospitalar por doenças de veiculação hídrica no Brasil. Cadernos de Saúde Pública, v. 34, n. 1, 2018. DOI: https://doi.org/10.1590/0102-311x00017316. Acesso em: [DATA].</w:t>
            </w:r>
          </w:p>
          <w:p>
            <w:pPr>
              <w:spacing w:after="20" w:before="0" w:line="240" w:lineRule="auto"/>
              <w:ind w:left="0"/>
            </w:pPr>
            <w:r>
              <w:rPr>
                <w:rFonts w:ascii="Calibri" w:hAnsi="Calibri"/>
                <w:b w:val="0"/>
                <w:i w:val="0"/>
                <w:color w:val="12303F"/>
                <w:sz w:val="13"/>
              </w:rPr>
              <w:t>RODRIGUES, A. d. C.; GONTIJO, T. S.; GONÇALVES, C. A. Eficiência do gasto público em atenção primária em saúde nos municípios do Rio de Janeiro, Brasil: escores robustos e seus determinantes. Ciência &amp; Saúde Coletiva, v. 26, n. suppl 2, p. 3567-3579, 2021. DOI: https://doi.org/10.1590/1413-81232021269.2.04342020. Acesso em: [DATA].</w:t>
            </w:r>
          </w:p>
          <w:p>
            <w:pPr>
              <w:spacing w:after="20" w:before="0" w:line="240" w:lineRule="auto"/>
              <w:ind w:left="0"/>
            </w:pPr>
            <w:r>
              <w:rPr>
                <w:rFonts w:ascii="Calibri" w:hAnsi="Calibri"/>
                <w:b w:val="0"/>
                <w:i w:val="0"/>
                <w:color w:val="12303F"/>
                <w:sz w:val="13"/>
              </w:rPr>
              <w:t>SANTOS NETO, J. A. d. et al. Análise do financiamento e gasto do Sistema Único de Saúde dos municípios da região de saúde Rota dos Bandeirantes do estado de São Paulo, Brasil. Ciência &amp; Saúde Coletiva, v. 22, n. 4, p. 1269-1280, 2017. DOI: https://doi.org/10.1590/1413-81232017224.28452016. Acesso em: [DATA].</w:t>
            </w:r>
          </w:p>
          <w:p>
            <w:pPr>
              <w:spacing w:after="20" w:before="0" w:line="240" w:lineRule="auto"/>
              <w:ind w:left="0"/>
            </w:pPr>
            <w:r>
              <w:rPr>
                <w:rFonts w:ascii="Calibri" w:hAnsi="Calibri"/>
                <w:b w:val="0"/>
                <w:i w:val="0"/>
                <w:color w:val="12303F"/>
                <w:sz w:val="13"/>
              </w:rPr>
              <w:t>SILVA, C. F. d.; LEITE, Á. J. M.; ALMEIDA, N. M. G. S. d. Linkage entre bancos de dados de nascidos vivos e óbitos infantis em município do Nordeste do Brasil: qualidade dos sistemas de informação. Cadernos de Saúde Pública, v. 25, n. 7, p. 1552-1558, 2009. DOI: https://doi.org/10.1590/s0102-311x2009000700013. Acesso em: [DATA].</w:t>
            </w:r>
          </w:p>
          <w:p>
            <w:pPr>
              <w:spacing w:after="20" w:before="0" w:line="240" w:lineRule="auto"/>
              <w:ind w:left="0"/>
            </w:pPr>
            <w:r>
              <w:rPr>
                <w:rFonts w:ascii="Calibri" w:hAnsi="Calibri"/>
                <w:b w:val="0"/>
                <w:i w:val="0"/>
                <w:color w:val="12303F"/>
                <w:sz w:val="13"/>
              </w:rPr>
              <w:t>VIACAVA, F. et al. Desigualdades regionais e sociais em saúde segundo inquéritos domiciliares (Brasil, 1998-2013). Ciência &amp; Saúde Coletiva, v. 24, n. 7, p. 2745-2760, 2019. DOI: https://doi.org/10.1590/1413-81232018247.15812017. Acesso em: [DATA].</w:t>
            </w:r>
          </w:p>
        </w:tc>
        <w:tc>
          <w:tcPr>
            <w:tcW w:type="dxa" w:w="7767"/>
            <w:shd w:val="clear" w:color="auto" w:fill="E8F4F8"/>
          </w:tcPr>
          <w:p/>
          <w:p>
            <w:pPr>
              <w:spacing w:after="20" w:before="0" w:line="26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2303F"/>
                <w:sz w:val="15"/>
              </w:rPr>
              <w:t>Painel: farol-ss.streamlit.app</w:t>
            </w:r>
          </w:p>
          <w:p>
            <w:pPr>
              <w:spacing w:after="20" w:before="0" w:line="269" w:lineRule="auto"/>
              <w:jc w:val="center"/>
            </w:pPr>
            <w:r>
              <w:rPr>
                <w:rFonts w:ascii="Calibri" w:hAnsi="Calibri"/>
                <w:b w:val="0"/>
                <w:i/>
                <w:color w:val="9AA3B0"/>
                <w:sz w:val="15"/>
              </w:rPr>
              <w:t>[ QR do painel ]</w:t>
            </w:r>
          </w:p>
          <w:p>
            <w:pPr>
              <w:spacing w:after="80" w:before="0" w:line="26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535C6B"/>
                <w:sz w:val="13"/>
              </w:rPr>
              <w:t>Código e dados: github.com/protazoarium/farol-ss</w:t>
            </w:r>
          </w:p>
        </w:tc>
      </w:tr>
    </w:tbl>
    <w:p>
      <w:pPr>
        <w:spacing w:after="80" w:before="60" w:line="269" w:lineRule="auto"/>
        <w:jc w:val="center"/>
      </w:pPr>
      <w:r>
        <w:rPr>
          <w:rFonts w:ascii="Calibri" w:hAnsi="Calibri"/>
          <w:b w:val="0"/>
          <w:i w:val="0"/>
          <w:color w:val="535C6B"/>
          <w:sz w:val="14"/>
        </w:rPr>
        <w:t>V SIPES 2026 · Recife-PE · Dados sob domínio público das fontes federais (IBGE, DATASUS, PNCP, CGU, MDS).</w:t>
      </w:r>
    </w:p>
    <w:sectPr w:rsidR="00FC693F" w:rsidRPr="0006063C" w:rsidSect="00034616">
      <w:pgSz w:w="17008" w:h="22677"/>
      <w:pgMar w:top="624" w:right="737" w:bottom="624" w:left="7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