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64" w:lineRule="auto"/>
        <w:jc w:val="center"/>
      </w:pPr>
      <w:r>
        <w:rPr>
          <w:rFonts w:ascii="Calibri" w:hAnsi="Calibri"/>
          <w:b w:val="0"/>
          <w:i/>
          <w:color w:val="606875"/>
          <w:sz w:val="15"/>
        </w:rPr>
        <w:t>MODELO EM ESCALA 1:3 — pôster final: 90 cm (largura) × 120 cm (altura), retrato. Ao finalizar, redefinir o tamanho da página ou exportar em PDF e ampliar 3×; imagens a 300 dpi. A logomarca do V SIPES no cabeçalho é obrigatória.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386"/>
        <w:gridCol w:w="10035"/>
      </w:tblGrid>
      <w:tr>
        <w:tc>
          <w:tcPr>
            <w:tcW w:type="dxa" w:w="7710"/>
            <w:shd w:val="clear" w:color="auto" w:fill="E8F4F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000" cy="10251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pe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025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0"/>
            <w:shd w:val="clear" w:color="auto" w:fill="E8F4F8"/>
          </w:tcPr>
          <w:p/>
          <w:p>
            <w:pPr>
              <w:spacing w:after="40" w:before="0" w:line="264" w:lineRule="auto"/>
              <w:jc w:val="right"/>
            </w:pPr>
            <w:r>
              <w:rPr>
                <w:rFonts w:ascii="Calibri" w:hAnsi="Calibri"/>
                <w:b/>
                <w:i w:val="0"/>
                <w:color w:val="12303F"/>
                <w:sz w:val="22"/>
              </w:rPr>
              <w:t>V Simpósio Internacional de Pesquisa em Estilos de Vida &amp; Saúde</w:t>
            </w:r>
          </w:p>
          <w:p>
            <w:pPr>
              <w:spacing w:after="40" w:before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606875"/>
                <w:sz w:val="19"/>
              </w:rPr>
              <w:t>Recife-PE · 25 a 27 de novembro de 2026</w:t>
            </w:r>
          </w:p>
          <w:p>
            <w:pPr>
              <w:spacing w:after="80" w:before="0" w:line="264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C8CB0"/>
                <w:sz w:val="18"/>
              </w:rPr>
              <w:t>Modalidade: Pôster   ·   Eixo temático: [selecionar]</w:t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  <w:jc w:val="center"/>
      </w:pPr>
      <w:r>
        <w:rPr>
          <w:rFonts w:ascii="Calibri" w:hAnsi="Calibri"/>
          <w:b/>
          <w:i w:val="0"/>
          <w:color w:val="12303F"/>
          <w:sz w:val="38"/>
        </w:rPr>
        <w:t>[ TÍTULO DO TRABALHO — no máximo 50 palavras, só a primeira letra maiúscula ]</w:t>
      </w:r>
    </w:p>
    <w:p>
      <w:pPr>
        <w:spacing w:after="20" w:before="0" w:line="264" w:lineRule="auto"/>
        <w:jc w:val="center"/>
      </w:pPr>
      <w:r>
        <w:rPr>
          <w:rFonts w:ascii="Calibri" w:hAnsi="Calibri"/>
          <w:b w:val="0"/>
          <w:i w:val="0"/>
          <w:color w:val="12303F"/>
          <w:sz w:val="22"/>
        </w:rPr>
        <w:t>[ Sobrenome, N.¹  ·  Sobrenome, N.²  ·  … (até 6 autores; o 1º apresenta) ]</w:t>
      </w:r>
    </w:p>
    <w:p>
      <w:pPr>
        <w:spacing w:after="120" w:before="0" w:line="264" w:lineRule="auto"/>
        <w:jc w:val="center"/>
      </w:pPr>
      <w:r>
        <w:rPr>
          <w:rFonts w:ascii="Calibri" w:hAnsi="Calibri"/>
          <w:b w:val="0"/>
          <w:i w:val="0"/>
          <w:color w:val="606875"/>
          <w:sz w:val="18"/>
        </w:rPr>
        <w:t>[ ¹Instituição, cidade/UF  ·  ²Instituição  ·  e-mail do 1º autor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7597"/>
        <w:gridCol w:w="7597"/>
      </w:tblGrid>
      <w:tr>
        <w:tc>
          <w:tcPr>
            <w:tcW w:type="dxa" w:w="7710"/>
          </w:tcPr>
          <w:p>
            <w:pPr>
              <w:spacing w:after="0"/>
            </w:pPr>
          </w:p>
          <w:p>
            <w:pPr>
              <w:spacing w:after="60" w:before="120" w:line="264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INTRODUÇÃO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Alocação de recursos em saúde e carga de doença não se distribuem de forma equivalente no território. Os portais de transparência mostram quanto se gasta, não se o gasto acompanha a necessidade de cada município.</w:t>
            </w:r>
          </w:p>
          <w:p>
            <w:pPr>
              <w:spacing w:after="80" w:before="0" w:line="264" w:lineRule="auto"/>
            </w:pPr>
            <w:r>
              <w:rPr>
                <w:rFonts w:ascii="Calibri" w:hAnsi="Calibri"/>
                <w:b w:val="0"/>
                <w:i/>
                <w:color w:val="9AA3B0"/>
                <w:sz w:val="18"/>
              </w:rPr>
              <w:t>[ 2–3 frases com 1 referência: iniquidade territorial em saúde / financiamento do SUS / determinação social pelo saneamento ]</w:t>
            </w:r>
          </w:p>
          <w:p>
            <w:pPr>
              <w:spacing w:after="60" w:before="120" w:line="264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OBJETIVOS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Desenvolver e disponibilizar o Farol da Saúde &amp; Saneamento (Farol-SS), monitor territorial de código aberto que quantifica o alinhamento entre necessidade sanitária e alocação de recursos nos 185 municípios de Pernambuco (2020–2024).</w:t>
            </w:r>
          </w:p>
          <w:p>
            <w:pPr>
              <w:spacing w:after="80" w:before="0" w:line="264" w:lineRule="auto"/>
            </w:pPr>
            <w:r>
              <w:rPr>
                <w:rFonts w:ascii="Calibri" w:hAnsi="Calibri"/>
                <w:b w:val="0"/>
                <w:i/>
                <w:color w:val="9AA3B0"/>
                <w:sz w:val="18"/>
              </w:rPr>
              <w:t>[ acrescentar 2 objetivos específicos ]</w:t>
            </w:r>
          </w:p>
          <w:p>
            <w:pPr>
              <w:spacing w:after="60" w:before="120" w:line="264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METODOLOGIA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Pipeline reprodutível (camadas bronze–silver–gold; DuckDB sobre Parquet; proveniência com SHA-256) integrou oito fontes federais abertas num grão único de município × ano: SINAN, internações do SIH-SUS por DRSAI, Censo 2022 (saneamento), CadÚnico (extrema pobreza), SIOPS (L2), PNCP e Compras.gov.br (L3), Portal da Transparência (L1).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IEAS — Índice de Efetividade da Alocação Sanitária: dois eixos, Necessidade (epidemiológico 0,40 + saneamento 0,35 + vulnerabilidade 0,25) e Alocação (L1 0,35 + L2 0,40 + L3 0,25, R$/hab deflacionado), cada um convertido em ranque percentil ∈ [0,1] no estado. gap = ranque(A) − ranque(N) colore um semáforo de quatro cores; "regra do cinza" não publica índice sem cobertura mínima de dados. Quatro detectores geram alertas explicáveis em linguagem natural.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37610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-iea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376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606875"/>
                <w:sz w:val="16"/>
              </w:rPr>
              <w:t>Figura 1. Construção do IEAS — das oito fontes ao semáforo.</w:t>
            </w:r>
          </w:p>
        </w:tc>
        <w:tc>
          <w:tcPr>
            <w:tcW w:type="dxa" w:w="7710"/>
          </w:tcPr>
          <w:p>
            <w:pPr>
              <w:spacing w:after="0"/>
            </w:pPr>
          </w:p>
          <w:p>
            <w:pPr>
              <w:spacing w:after="60" w:before="120" w:line="264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O IEAS foi calculado para 921 dos 925 município-anos (185/185 em 2024). Distribuição do farol (todos os anos): 383 alinhado, 202 necessidade não atendida, 176 alocação acima da necessidade, 160 subalocação leve, 4 sem dado. Em 2024: 104 verde, 60 azul, 19 amarelo, 2 vermelho.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777 alertas emitidos: 570 suspeita de desabastecimento (concentrados nos anos de surto de arbovirose), 202 desalinhamento estrutural, 4 alocação abaixo do esperado, 1 suspeita de sobrepreço.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Coberturas censitárias medianas em PE: água 64%, esgoto 48%, coleta de lixo 74% — necessidade elevada em quase todo o estado.</w:t>
            </w:r>
          </w:p>
          <w:p>
            <w:pPr>
              <w:jc w:val="center"/>
              <w:shd w:val="clear" w:color="auto" w:fill="F1F3F6"/>
            </w:pPr>
            <w:r>
              <w:rPr>
                <w:i/>
                <w:color w:val="9AA3B0"/>
                <w:sz w:val="18"/>
              </w:rPr>
              <w:t>[  INSERIR AQUI: mapa coroplético do farol de PE — 2024  ]</w:t>
              <w:br/>
              <w:t>[  exportar da página Farol do painel, PNG 300 dpi  ]</w:t>
            </w:r>
          </w:p>
          <w:p>
            <w:pPr>
              <w:spacing w:after="80" w:before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606875"/>
                <w:sz w:val="16"/>
              </w:rPr>
              <w:t>Figura 2. Farol da alocação sanitária — Pernambuco, 2024.</w:t>
            </w:r>
          </w:p>
          <w:p>
            <w:pPr>
              <w:spacing w:after="80" w:before="0" w:line="264" w:lineRule="auto"/>
            </w:pPr>
            <w:r>
              <w:rPr>
                <w:rFonts w:ascii="Calibri" w:hAnsi="Calibri"/>
                <w:b w:val="0"/>
                <w:i/>
                <w:color w:val="9AA3B0"/>
                <w:sz w:val="18"/>
              </w:rPr>
              <w:t>[ opcional: caixa com 1 exemplo de alerta em linguagem natural, ex.: "Incidência de dengue no percentil 75+ de PE em 2024, sem contratação de larvicida/inseticida no PNCP para o município." ]</w:t>
            </w:r>
          </w:p>
          <w:p>
            <w:pPr>
              <w:spacing w:after="60" w:before="120" w:line="264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CONCLUSÕES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É viável, a partir exclusivamente de dados abertos, produzir um instrumento reprodutível e explicável de apoio ao controle social e à priorização de auditoria e de investimento em saúde e saneamento. O método é transferível a outras unidades da federação.</w:t>
            </w:r>
          </w:p>
          <w:p>
            <w:pPr>
              <w:spacing w:after="60" w:before="120" w:line="264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LIMITAÇÕES</w:t>
            </w:r>
          </w:p>
          <w:p>
            <w:pPr>
              <w:spacing w:after="80" w:before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L1 é um proxy (transferências sociais, não repasse setorial de saúde); saneamento é um retrato de 2022; a adesão ao PNCP cresce ano a ano (coluna de maturidade indica a confiança por ano).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11452"/>
        <w:gridCol w:w="3969"/>
      </w:tblGrid>
      <w:tr>
        <w:tc>
          <w:tcPr>
            <w:tcW w:type="dxa" w:w="7710"/>
            <w:shd w:val="clear" w:color="auto" w:fill="E8F4F8"/>
          </w:tcPr>
          <w:p/>
          <w:p>
            <w:pPr>
              <w:spacing w:after="20" w:before="0" w:line="264" w:lineRule="auto"/>
            </w:pPr>
            <w:r>
              <w:rPr>
                <w:rFonts w:ascii="Calibri" w:hAnsi="Calibri"/>
                <w:b/>
                <w:i w:val="0"/>
                <w:color w:val="12303F"/>
                <w:sz w:val="18"/>
              </w:rPr>
              <w:t>REFERÊNCIAS</w:t>
            </w:r>
          </w:p>
          <w:p>
            <w:pPr>
              <w:spacing w:after="80" w:before="0" w:line="264" w:lineRule="auto"/>
            </w:pPr>
            <w:r>
              <w:rPr>
                <w:rFonts w:ascii="Calibri" w:hAnsi="Calibri"/>
                <w:b w:val="0"/>
                <w:i/>
                <w:color w:val="9AA3B0"/>
                <w:sz w:val="18"/>
              </w:rPr>
              <w:t>[ 5 a 8 referências, ABNT NBR 6023, fonte 7–8 pt — só as efetivamente citadas no pôster ]</w:t>
            </w:r>
          </w:p>
        </w:tc>
        <w:tc>
          <w:tcPr>
            <w:tcW w:type="dxa" w:w="7710"/>
            <w:shd w:val="clear" w:color="auto" w:fill="E8F4F8"/>
          </w:tcPr>
          <w:p/>
          <w:p>
            <w:pPr>
              <w:spacing w:after="20" w:before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2303F"/>
                <w:sz w:val="16"/>
              </w:rPr>
              <w:t>Painel: farol-ss.streamlit.app</w:t>
            </w:r>
          </w:p>
          <w:p>
            <w:pPr>
              <w:spacing w:after="20" w:before="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9AA3B0"/>
                <w:sz w:val="16"/>
              </w:rPr>
              <w:t>[ QR code do painel ]</w:t>
            </w:r>
          </w:p>
          <w:p>
            <w:pPr>
              <w:spacing w:after="80" w:before="0" w:line="264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606875"/>
                <w:sz w:val="14"/>
              </w:rPr>
              <w:t>Código: github.com/protazoarium/farol-ss</w:t>
            </w:r>
          </w:p>
        </w:tc>
      </w:tr>
    </w:tbl>
    <w:p>
      <w:pPr>
        <w:spacing w:after="80" w:before="80" w:line="264" w:lineRule="auto"/>
        <w:jc w:val="center"/>
      </w:pPr>
      <w:r>
        <w:rPr>
          <w:rFonts w:ascii="Calibri" w:hAnsi="Calibri"/>
          <w:b w:val="0"/>
          <w:i w:val="0"/>
          <w:color w:val="606875"/>
          <w:sz w:val="15"/>
        </w:rPr>
        <w:t>V SIPES 2026 · Recife-PE · 25–27 nov · Dados sob domínio público das fontes federais (IBGE, DATASUS, PNCP, CGU, MDS)</w:t>
      </w:r>
    </w:p>
    <w:sectPr w:rsidR="00FC693F" w:rsidRPr="0006063C" w:rsidSect="00034616">
      <w:pgSz w:w="17008" w:h="22677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