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69" w:lineRule="auto"/>
        <w:jc w:val="center"/>
      </w:pPr>
      <w:r>
        <w:rPr>
          <w:rFonts w:ascii="Calibri" w:hAnsi="Calibri"/>
          <w:b w:val="0"/>
          <w:i/>
          <w:color w:val="5A6270"/>
          <w:sz w:val="15"/>
        </w:rPr>
        <w:t xml:space="preserve">ESBOÇO — pôster técnico-científico (ABNT NBR 15437:2006). Escala 1:3; final 90 × 120 cm, retrato, 300 dpi. Marcas </w:t>
      </w:r>
      <w:r>
        <w:rPr>
          <w:rFonts w:ascii="Calibri" w:hAnsi="Calibri"/>
          <w:b/>
          <w:i/>
          <w:color w:val="B05310"/>
          <w:sz w:val="15"/>
        </w:rPr>
        <w:t>(AUTOR, ANO)</w:t>
      </w:r>
      <w:r>
        <w:rPr>
          <w:rFonts w:ascii="Calibri" w:hAnsi="Calibri"/>
          <w:b w:val="0"/>
          <w:i/>
          <w:color w:val="5A6270"/>
          <w:sz w:val="15"/>
        </w:rPr>
        <w:t xml:space="preserve"> = trocar pela citação da revisão. Logo do V SIPES obrigatória.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86"/>
        <w:gridCol w:w="10035"/>
      </w:tblGrid>
      <w:tr>
        <w:tc>
          <w:tcPr>
            <w:tcW w:type="dxa" w:w="7710"/>
            <w:shd w:val="clear" w:color="auto" w:fill="E8F4F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96000" cy="102516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pes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025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0"/>
            <w:shd w:val="clear" w:color="auto" w:fill="E8F4F8"/>
          </w:tcPr>
          <w:p/>
          <w:p>
            <w:pPr>
              <w:spacing w:after="40" w:before="0" w:line="269" w:lineRule="auto"/>
              <w:jc w:val="right"/>
            </w:pPr>
            <w:r>
              <w:rPr>
                <w:rFonts w:ascii="Calibri" w:hAnsi="Calibri"/>
                <w:b/>
                <w:i w:val="0"/>
                <w:color w:val="12303F"/>
                <w:sz w:val="22"/>
              </w:rPr>
              <w:t>V Simpósio Internacional de Pesquisa em Estilos de Vida &amp; Saúde</w:t>
            </w:r>
          </w:p>
          <w:p>
            <w:pPr>
              <w:spacing w:after="40" w:before="0" w:line="269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5A6270"/>
                <w:sz w:val="19"/>
              </w:rPr>
              <w:t>Recife-PE · 25 a 27 de novembro de 2026</w:t>
            </w:r>
          </w:p>
          <w:p>
            <w:pPr>
              <w:spacing w:after="80" w:before="0" w:line="269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C8CB0"/>
                <w:sz w:val="18"/>
              </w:rPr>
              <w:t>Pôster · Eixo: Inovação tecnológica em saúde (a confirmar)</w:t>
            </w:r>
          </w:p>
        </w:tc>
      </w:tr>
    </w:tbl>
    <w:p>
      <w:pPr>
        <w:spacing w:after="40" w:before="0" w:line="269" w:lineRule="auto"/>
      </w:pPr>
      <w:r>
        <w:rPr>
          <w:rFonts w:ascii="Calibri" w:hAnsi="Calibri"/>
          <w:b w:val="0"/>
          <w:i w:val="0"/>
          <w:color w:val="12303F"/>
          <w:sz w:val="19"/>
        </w:rPr>
      </w:r>
    </w:p>
    <w:p>
      <w:pPr>
        <w:spacing w:after="80" w:before="0" w:line="269" w:lineRule="auto"/>
        <w:jc w:val="center"/>
      </w:pPr>
      <w:r>
        <w:rPr>
          <w:rFonts w:ascii="Calibri" w:hAnsi="Calibri"/>
          <w:b/>
          <w:i w:val="0"/>
          <w:color w:val="12303F"/>
          <w:sz w:val="34"/>
        </w:rPr>
        <w:t>Farol da Saúde &amp; Saneamento: um índice territorial de efetividade da alocação sanitária construído com dados abertos para os 185 municípios de Pernambuco, 2020–2024</w:t>
      </w:r>
    </w:p>
    <w:p>
      <w:pPr>
        <w:spacing w:after="20" w:before="0" w:line="269" w:lineRule="auto"/>
        <w:jc w:val="center"/>
      </w:pPr>
      <w:r>
        <w:rPr>
          <w:rFonts w:ascii="Calibri" w:hAnsi="Calibri"/>
          <w:b w:val="0"/>
          <w:i w:val="0"/>
          <w:color w:val="12303F"/>
          <w:sz w:val="21"/>
        </w:rPr>
        <w:t>SOBRENOME, Nome¹; SOBRENOME, Nome²  [até 6 autores; ¹e ² = filiação]</w:t>
      </w:r>
    </w:p>
    <w:p>
      <w:pPr>
        <w:spacing w:after="120" w:before="0" w:line="269" w:lineRule="auto"/>
        <w:jc w:val="center"/>
      </w:pPr>
      <w:r>
        <w:rPr>
          <w:rFonts w:ascii="Calibri" w:hAnsi="Calibri"/>
          <w:b w:val="0"/>
          <w:i w:val="0"/>
          <w:color w:val="5A6270"/>
          <w:sz w:val="17"/>
        </w:rPr>
        <w:t>¹Instituição, cidade/UF · ²Instituição · e-mail do autor apresentador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597"/>
        <w:gridCol w:w="7597"/>
      </w:tblGrid>
      <w:tr>
        <w:tc>
          <w:tcPr>
            <w:tcW w:type="dxa" w:w="7710"/>
          </w:tcPr>
          <w:p/>
          <w:p>
            <w:pPr>
              <w:spacing w:after="60" w:before="120" w:line="269" w:lineRule="auto"/>
              <w:shd w:val="clear" w:color="auto" w:fill="1C8CB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1 INTRODUÇÃO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9"/>
              </w:rPr>
              <w:t xml:space="preserve">A alocação de recursos públicos em saúde e a carga de doença não se distribuem de forma equivalente no território brasileiro </w:t>
            </w:r>
            <w:r>
              <w:rPr>
                <w:rFonts w:ascii="Calibri" w:hAnsi="Calibri"/>
                <w:b/>
                <w:i w:val="0"/>
                <w:color w:val="B05310"/>
                <w:sz w:val="18"/>
              </w:rPr>
              <w:t>(AUTOR, ANO)</w:t>
            </w:r>
            <w:r>
              <w:rPr>
                <w:rFonts w:ascii="Calibri" w:hAnsi="Calibri"/>
                <w:b w:val="0"/>
                <w:i w:val="0"/>
                <w:color w:val="12303F"/>
                <w:sz w:val="19"/>
              </w:rPr>
              <w:t xml:space="preserve">. Municípios com maior déficit de saneamento e maior incidência de doenças de veiculação hídrica podem, ao mesmo tempo, receber e executar menos recurso por habitante do que a média do estado </w:t>
            </w:r>
            <w:r>
              <w:rPr>
                <w:rFonts w:ascii="Calibri" w:hAnsi="Calibri"/>
                <w:b/>
                <w:i w:val="0"/>
                <w:color w:val="B05310"/>
                <w:sz w:val="18"/>
              </w:rPr>
              <w:t>(AUTOR, ANO)</w:t>
            </w:r>
            <w:r>
              <w:rPr>
                <w:rFonts w:ascii="Calibri" w:hAnsi="Calibri"/>
                <w:b w:val="0"/>
                <w:i w:val="0"/>
                <w:color w:val="12303F"/>
                <w:sz w:val="19"/>
              </w:rPr>
              <w:t xml:space="preserve">. Os portais de transparência informam o quanto se gasta, mas não permitem avaliar se esse gasto acompanha a necessidade sanitária de cada território </w:t>
            </w:r>
            <w:r>
              <w:rPr>
                <w:rFonts w:ascii="Calibri" w:hAnsi="Calibri"/>
                <w:b/>
                <w:i w:val="0"/>
                <w:color w:val="B05310"/>
                <w:sz w:val="18"/>
              </w:rPr>
              <w:t>(AUTOR, ANO)</w:t>
            </w:r>
            <w:r>
              <w:rPr>
                <w:rFonts w:ascii="Calibri" w:hAnsi="Calibri"/>
                <w:b w:val="0"/>
                <w:i w:val="0"/>
                <w:color w:val="12303F"/>
                <w:sz w:val="19"/>
              </w:rPr>
              <w:t>.</w:t>
            </w:r>
          </w:p>
          <w:p>
            <w:pPr>
              <w:spacing w:after="80" w:before="0" w:line="269" w:lineRule="auto"/>
            </w:pPr>
            <w:r>
              <w:rPr>
                <w:rFonts w:ascii="Calibri" w:hAnsi="Calibri"/>
                <w:b w:val="0"/>
                <w:i/>
                <w:color w:val="5A6270"/>
                <w:sz w:val="17"/>
              </w:rPr>
              <w:t>[inserir 1–2 frases de fechamento com a lacuna que o trabalho preenche]</w:t>
            </w:r>
          </w:p>
          <w:p>
            <w:pPr>
              <w:spacing w:after="60" w:before="120" w:line="269" w:lineRule="auto"/>
              <w:shd w:val="clear" w:color="auto" w:fill="1C8CB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2 OBJETIVOS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9"/>
              </w:rPr>
              <w:t>Desenvolver e disponibilizar o Farol da Saúde &amp; Saneamento (Farol-SS), monitor territorial de código aberto que quantifica o alinhamento entre necessidade sanitária e alocação de recursos nos 185 municípios de Pernambuco (2020–2024); descrever a construção do Índice de Efetividade da Alocação Sanitária (IEAS); e apresentar o panorama estadual e os alertas gerados.</w:t>
            </w:r>
          </w:p>
          <w:p>
            <w:pPr>
              <w:spacing w:after="60" w:before="120" w:line="269" w:lineRule="auto"/>
              <w:shd w:val="clear" w:color="auto" w:fill="1C8CB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3 METODOLOGIA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9"/>
              </w:rPr>
              <w:t xml:space="preserve">Estudo ecológico, de base documental, com dados secundários de acesso aberto. Um pipeline reprodutível (arquitetura em camadas; DuckDB sobre arquivos Parquet; proveniência com SHA-256) integrou oito fontes federais num grão único de município × ano (grade 185 × 5): SINAN; internações do SIH-SUS por doenças relacionadas ao saneamento ambiental inadequado </w:t>
            </w:r>
            <w:r>
              <w:rPr>
                <w:rFonts w:ascii="Calibri" w:hAnsi="Calibri"/>
                <w:b/>
                <w:i w:val="0"/>
                <w:color w:val="B05310"/>
                <w:sz w:val="18"/>
              </w:rPr>
              <w:t>(AUTOR, ANO)</w:t>
            </w:r>
            <w:r>
              <w:rPr>
                <w:rFonts w:ascii="Calibri" w:hAnsi="Calibri"/>
                <w:b w:val="0"/>
                <w:i w:val="0"/>
                <w:color w:val="12303F"/>
                <w:sz w:val="19"/>
              </w:rPr>
              <w:t>; déficit de água, esgoto e coleta de lixo do Censo Demográfico 2022; extrema pobreza do CadÚnico; despesa própria municipal em saúde (SIOPS); contratação de insumos (PNCP e Compras.gov.br); e transferências federais (Portal da Transparência).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9"/>
              </w:rPr>
              <w:t xml:space="preserve">O IEAS combina dois eixos — Necessidade (epidemiológico 0,40; saneamento 0,35; vulnerabilidade 0,25) e Alocação (repasse federal 0,35; execução própria 0,40; contratação de insumos 0,25, em R$/hab deflacionados) —, cada um convertido em ranque percentil ∈ [0,1] entre os 185 municípios. A diferença gap = ranque(Alocação) − ranque(Necessidade) define um semáforo de quatro cores; uma regra de cobertura mínima impede o cálculo quando faltam dados. Quatro detectores geram alertas explicáveis em linguagem natural. Indicadores compostos seguem recomendações da literatura </w:t>
            </w:r>
            <w:r>
              <w:rPr>
                <w:rFonts w:ascii="Calibri" w:hAnsi="Calibri"/>
                <w:b/>
                <w:i w:val="0"/>
                <w:color w:val="B05310"/>
                <w:sz w:val="18"/>
              </w:rPr>
              <w:t>(AUTOR, ANO)</w:t>
            </w:r>
            <w:r>
              <w:rPr>
                <w:rFonts w:ascii="Calibri" w:hAnsi="Calibri"/>
                <w:b w:val="0"/>
                <w:i w:val="0"/>
                <w:color w:val="12303F"/>
                <w:sz w:val="19"/>
              </w:rPr>
              <w:t>.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4000" cy="372524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grama-iea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37252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before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A6270"/>
                <w:sz w:val="15"/>
              </w:rPr>
              <w:t>Figura 1 – Construção do IEAS. Fonte: elaborada pelos autores (2026).</w:t>
            </w:r>
          </w:p>
        </w:tc>
        <w:tc>
          <w:tcPr>
            <w:tcW w:type="dxa" w:w="7710"/>
          </w:tcPr>
          <w:p/>
          <w:p>
            <w:pPr>
              <w:spacing w:after="60" w:before="120" w:line="269" w:lineRule="auto"/>
              <w:shd w:val="clear" w:color="auto" w:fill="1C8CB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4 RESULTADOS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9"/>
              </w:rPr>
              <w:t>O IEAS foi calculado para 921 dos 925 município-anos (185 de 185 em 2024). Na série completa, o semáforo distribuiu-se em 383 município-anos alinhados, 202 com necessidade não atendida, 176 com alocação acima da necessidade, 160 com subalocação leve e 4 sem dado suficiente; em 2024, 104 verde, 60 azul, 19 amarelo e 2 vermelho.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9"/>
              </w:rPr>
              <w:t xml:space="preserve">Foram emitidos 777 alertas: 570 de suspeita de desabastecimento de insumos (concentrados nos anos de surto de arbovirose), 202 de desalinhamento estrutural, 4 de alocação abaixo do esperado e 1 de suspeita de sobrepreço. As coberturas censitárias medianas de água (64%), esgoto (48%) e coleta de lixo (74%) em Pernambuco sustentam necessidade elevada em quase todo o estado </w:t>
            </w:r>
            <w:r>
              <w:rPr>
                <w:rFonts w:ascii="Calibri" w:hAnsi="Calibri"/>
                <w:b/>
                <w:i w:val="0"/>
                <w:color w:val="B05310"/>
                <w:sz w:val="18"/>
              </w:rPr>
              <w:t>(AUTOR, ANO)</w:t>
            </w:r>
            <w:r>
              <w:rPr>
                <w:rFonts w:ascii="Calibri" w:hAnsi="Calibri"/>
                <w:b w:val="0"/>
                <w:i w:val="0"/>
                <w:color w:val="12303F"/>
                <w:sz w:val="19"/>
              </w:rPr>
              <w:t>.</w:t>
            </w:r>
          </w:p>
          <w:p>
            <w:pPr>
              <w:jc w:val="center"/>
              <w:shd w:val="clear" w:color="auto" w:fill="F1F3F6"/>
            </w:pPr>
            <w:r>
              <w:rPr>
                <w:i/>
                <w:color w:val="9AA3B0"/>
                <w:sz w:val="18"/>
              </w:rPr>
              <w:t>[  INSERIR: mapa coroplético do farol — Pernambuco, 2024  ]</w:t>
              <w:br/>
              <w:t>[  exportar da página Farol do painel · PNG 300 dpi  ]</w:t>
            </w:r>
          </w:p>
          <w:p>
            <w:pPr>
              <w:spacing w:after="80" w:before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A6270"/>
                <w:sz w:val="15"/>
              </w:rPr>
              <w:t>Figura 2 – Farol da alocação sanitária, Pernambuco, 2024. Fonte: Farol-SS (2026).</w:t>
            </w:r>
          </w:p>
          <w:p>
            <w:pPr>
              <w:spacing w:after="60" w:before="120" w:line="269" w:lineRule="auto"/>
              <w:shd w:val="clear" w:color="auto" w:fill="1C8CB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5 CONCLUSÃO</w:t>
            </w:r>
          </w:p>
          <w:p>
            <w:pPr>
              <w:spacing w:after="80" w:before="0" w:line="269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12303F"/>
                <w:sz w:val="19"/>
              </w:rPr>
              <w:t>É viável, a partir exclusivamente de dados abertos, produzir um instrumento reprodutível e explicável de apoio ao controle social e à priorização de auditoria e de investimento em saúde e saneamento. O método é transferível a outras unidades da federação. Como limitações, a camada de repasse federal é um proxy de transferências sociais; o saneamento é um retrato de 2022; e a adesão ao Portal Nacional de Contratações Públicas ainda cresce ano a ano.</w:t>
            </w:r>
          </w:p>
        </w:tc>
      </w:tr>
    </w:tbl>
    <w:p>
      <w:pPr>
        <w:spacing w:after="40" w:before="0" w:line="269" w:lineRule="auto"/>
      </w:pPr>
      <w:r>
        <w:rPr>
          <w:rFonts w:ascii="Calibri" w:hAnsi="Calibri"/>
          <w:b w:val="0"/>
          <w:i w:val="0"/>
          <w:color w:val="12303F"/>
          <w:sz w:val="19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565"/>
        <w:gridCol w:w="3855"/>
      </w:tblGrid>
      <w:tr>
        <w:tc>
          <w:tcPr>
            <w:tcW w:type="dxa" w:w="7710"/>
            <w:shd w:val="clear" w:color="auto" w:fill="E8F4F8"/>
          </w:tcPr>
          <w:p/>
          <w:p>
            <w:pPr>
              <w:spacing w:after="40" w:before="0" w:line="269" w:lineRule="auto"/>
            </w:pPr>
            <w:r>
              <w:rPr>
                <w:rFonts w:ascii="Calibri" w:hAnsi="Calibri"/>
                <w:b/>
                <w:i w:val="0"/>
                <w:color w:val="12303F"/>
                <w:sz w:val="17"/>
              </w:rPr>
              <w:t>REFERÊNCIAS (ABNT NBR 6023:2018) — só as citadas no pôster</w:t>
            </w:r>
          </w:p>
          <w:p>
            <w:pPr>
              <w:spacing w:after="4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4"/>
              </w:rPr>
              <w:t>PAIM, J. et al. The Brazilian health system: history, advances, and challenges. The Lancet, v. 377, n. 9779, p. 1778-1797, 2011. DOI: https://doi.org/10.1016/s0140-6736(11)60054-8. Acesso em: [DATA].</w:t>
            </w:r>
          </w:p>
          <w:p>
            <w:pPr>
              <w:spacing w:after="4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4"/>
              </w:rPr>
              <w:t>CASTRO, M. C. et al. Brazil's unified health system: the first 30 years and prospects for the future. The Lancet, v. 394, n. 10195, p. 345-356, 2019. DOI: https://doi.org/10.1016/s0140-6736(19)31243-7. Acesso em: [DATA].</w:t>
            </w:r>
          </w:p>
          <w:p>
            <w:pPr>
              <w:spacing w:after="4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4"/>
              </w:rPr>
              <w:t>MASSUDA, A. et al. The Brazilian health system at crossroads: progress, crisis and resilience. BMJ Global Health, v. 3, n. 4, p. e000829, 2018. DOI: https://doi.org/10.1136/bmjgh-2018-000829. Acesso em: [DATA].</w:t>
            </w:r>
          </w:p>
          <w:p>
            <w:pPr>
              <w:spacing w:after="4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4"/>
              </w:rPr>
              <w:t>BARRETO, M. L. et al. Effect of city-wide sanitation programme on reduction in rate of childhood diarrhoea in northeast Brazil: assessment by two cohort studies. The Lancet, v. 370, n. 9599, p. 1622-1628, 2007. DOI: https://doi.org/10.1016/s0140-6736(07)61638-9. Acesso em: [DATA].</w:t>
            </w:r>
          </w:p>
          <w:p>
            <w:pPr>
              <w:spacing w:after="4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4"/>
              </w:rPr>
              <w:t>RASELLA, D. et al. Effect of a conditional cash transfer programme on childhood mortality: a nationwide analysis of Brazilian municipalities. The Lancet, v. 382, n. 9886, p. 57-64, 2013. DOI: https://doi.org/10.1016/s0140-6736(13)60715-1. Acesso em: [DATA].</w:t>
            </w:r>
          </w:p>
          <w:p>
            <w:pPr>
              <w:spacing w:after="4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4"/>
              </w:rPr>
              <w:t>DIXON, A. Financing mental health services in low- and middle-income countries. Health Policy and Planning, v. 21, n. 3, p. 171-182, 2006. DOI: https://doi.org/10.1093/heapol/czl004. Acesso em: [DATA].</w:t>
            </w:r>
          </w:p>
          <w:p>
            <w:pPr>
              <w:spacing w:after="4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4"/>
              </w:rPr>
              <w:t>MATHEUS, R.; JANSSEN, M.; JANOWSKI, T. Design principles for creating digital transparency in government. Government Information Quarterly, v. 38, n. 1, p. 101550, 2021. DOI: https://doi.org/10.1016/j.giq.2020.101550. Acesso em: [DATA].</w:t>
            </w:r>
          </w:p>
          <w:p>
            <w:pPr>
              <w:spacing w:after="40" w:before="0" w:line="240" w:lineRule="auto"/>
              <w:ind w:left="0"/>
            </w:pPr>
            <w:r>
              <w:rPr>
                <w:rFonts w:ascii="Calibri" w:hAnsi="Calibri"/>
                <w:b w:val="0"/>
                <w:i w:val="0"/>
                <w:color w:val="12303F"/>
                <w:sz w:val="14"/>
              </w:rPr>
              <w:t>BARCELLOS, C. A lenda urbana sobre internações devidas à falta de saneamento. Cadernos de Saúde Pública, v. 21, n. 4, p. 996-997, 2005. DOI: https://doi.org/10.1590/s0102-311x2005000400001. Acesso em: [DATA].</w:t>
            </w:r>
          </w:p>
        </w:tc>
        <w:tc>
          <w:tcPr>
            <w:tcW w:type="dxa" w:w="7710"/>
            <w:shd w:val="clear" w:color="auto" w:fill="E8F4F8"/>
          </w:tcPr>
          <w:p/>
          <w:p>
            <w:pPr>
              <w:spacing w:after="20" w:before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2303F"/>
                <w:sz w:val="15"/>
              </w:rPr>
              <w:t>Painel: farol-ss.streamlit.app</w:t>
            </w:r>
          </w:p>
          <w:p>
            <w:pPr>
              <w:spacing w:after="20" w:before="0" w:line="269" w:lineRule="auto"/>
              <w:jc w:val="center"/>
            </w:pPr>
            <w:r>
              <w:rPr>
                <w:rFonts w:ascii="Calibri" w:hAnsi="Calibri"/>
                <w:b w:val="0"/>
                <w:i/>
                <w:color w:val="9AA3B0"/>
                <w:sz w:val="15"/>
              </w:rPr>
              <w:t>[ QR do painel ]</w:t>
            </w:r>
          </w:p>
          <w:p>
            <w:pPr>
              <w:spacing w:after="80" w:before="0" w:line="269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5A6270"/>
                <w:sz w:val="13"/>
              </w:rPr>
              <w:t>github.com/protazoarium/farol-ss</w:t>
            </w:r>
          </w:p>
        </w:tc>
      </w:tr>
    </w:tbl>
    <w:p>
      <w:pPr>
        <w:spacing w:after="80" w:before="80" w:line="269" w:lineRule="auto"/>
        <w:jc w:val="center"/>
      </w:pPr>
      <w:r>
        <w:rPr>
          <w:rFonts w:ascii="Calibri" w:hAnsi="Calibri"/>
          <w:b w:val="0"/>
          <w:i w:val="0"/>
          <w:color w:val="5A6270"/>
          <w:sz w:val="14"/>
        </w:rPr>
        <w:t>V SIPES 2026 · Recife-PE · Dados sob domínio público das fontes federais (IBGE, DATASUS, PNCP, CGU, MDS). Apoio: [agência/instituição].</w:t>
      </w:r>
    </w:p>
    <w:sectPr w:rsidR="00FC693F" w:rsidRPr="0006063C" w:rsidSect="00034616">
      <w:pgSz w:w="17008" w:h="22677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