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72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pes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7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color w:val="12303F"/>
          <w:sz w:val="40"/>
        </w:rPr>
        <w:t>Projeto para construção do trabalho</w:t>
      </w:r>
    </w:p>
    <w:p>
      <w:pPr>
        <w:jc w:val="center"/>
      </w:pPr>
      <w:r>
        <w:rPr>
          <w:b w:val="0"/>
          <w:i w:val="0"/>
          <w:color w:val="1C8CB0"/>
          <w:sz w:val="24"/>
        </w:rPr>
        <w:t>V Simpósio Internacional de Pesquisa em Estilos de Vida &amp; Saúde — SIPES 2026</w:t>
      </w:r>
    </w:p>
    <w:p>
      <w:pPr>
        <w:jc w:val="center"/>
      </w:pPr>
      <w:r>
        <w:rPr>
          <w:b w:val="0"/>
          <w:i w:val="0"/>
          <w:color w:val="545C6B"/>
          <w:sz w:val="20"/>
        </w:rPr>
        <w:t>Recife-PE · 25 a 27 de novembro de 2026 (em conjunto com SAIA e CIISE)</w:t>
      </w:r>
    </w:p>
    <w:p/>
    <w:p>
      <w:pPr>
        <w:jc w:val="center"/>
      </w:pPr>
      <w:r>
        <w:rPr>
          <w:b w:val="0"/>
          <w:i/>
          <w:color w:val="545C6B"/>
          <w:sz w:val="22"/>
        </w:rPr>
        <w:t>Objeto: Farol da Saúde &amp; Saneamento (Farol-SS / Painel-SS) — monitor territorial de efetividade da alocação sanitária para os 185 municípios de Pernambuco, construído exclusivamente com dados abertos federais.</w:t>
      </w:r>
    </w:p>
    <w:p>
      <w:pPr>
        <w:jc w:val="center"/>
      </w:pPr>
      <w:r>
        <w:rPr>
          <w:b w:val="0"/>
          <w:i w:val="0"/>
          <w:color w:val="545C6B"/>
          <w:sz w:val="18"/>
        </w:rPr>
        <w:t>Documento de planejamento — não é o texto final de submissão. Uso interno da equipe autora.</w:t>
      </w:r>
    </w:p>
    <w:p>
      <w:r>
        <w:br w:type="page"/>
      </w:r>
    </w:p>
    <w:p>
      <w:pPr>
        <w:pStyle w:val="Heading1"/>
      </w:pPr>
      <w:r>
        <w:t>1. Identificação do trabalho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6973"/>
          </w:tcPr>
          <w:p>
            <w:r>
              <w:t>V SIPES 2026 — Simpósio Internacional de Pesquisa em Estilos de Vida &amp; Saúde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Local / data</w:t>
            </w:r>
          </w:p>
        </w:tc>
        <w:tc>
          <w:tcPr>
            <w:tcW w:type="dxa" w:w="6973"/>
          </w:tcPr>
          <w:p>
            <w:r>
              <w:t>Recife-PE · 25–27 de novembro de 2026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Modalidade pretendida</w:t>
            </w:r>
          </w:p>
        </w:tc>
        <w:tc>
          <w:tcPr>
            <w:tcW w:type="dxa" w:w="6973"/>
          </w:tcPr>
          <w:p>
            <w:r>
              <w:t>Apresentação em pôster (banner 120 × 90 cm) — com opção de indicar interesse em apresentação oral (10 min + 5 min de arguição)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Área temática (a confirmar no formulário)</w:t>
            </w:r>
          </w:p>
        </w:tc>
        <w:tc>
          <w:tcPr>
            <w:tcW w:type="dxa" w:w="6973"/>
          </w:tcPr>
          <w:p>
            <w:r>
              <w:t>Inovação tecnológica em saúde / Sistemas de informação e gestão em saúde — entre os 11 eixos do evento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Título provisório</w:t>
            </w:r>
          </w:p>
        </w:tc>
        <w:tc>
          <w:tcPr>
            <w:tcW w:type="dxa" w:w="6973"/>
          </w:tcPr>
          <w:p>
            <w:r>
              <w:t>Farol da Saúde &amp; Saneamento: um índice territorial de efetividade da alocação sanitária construído com dados abertos para os 185 municípios de Pernambuco (2020–2024)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Título alternativo (mais curto)</w:t>
            </w:r>
          </w:p>
        </w:tc>
        <w:tc>
          <w:tcPr>
            <w:tcW w:type="dxa" w:w="6973"/>
          </w:tcPr>
          <w:p>
            <w:r>
              <w:t>Alinhamento entre necessidade e gasto em saúde nos municípios de Pernambuco: o Índice de Efetividade da Alocação Sanitária (IEAS)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Autores (até 6; 1º autor = responsável e apresentador)</w:t>
            </w:r>
          </w:p>
        </w:tc>
        <w:tc>
          <w:tcPr>
            <w:tcW w:type="dxa" w:w="6973"/>
          </w:tcPr>
          <w:p>
            <w:r>
              <w:t>[nome completo, e-mail, instituição] — preencher; o 1º autor só pode ser principal em um trabalho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Palavras-chave (3, DeCS/MeSH — confirmar em decs.bvsalud.org)</w:t>
            </w:r>
          </w:p>
        </w:tc>
        <w:tc>
          <w:tcPr>
            <w:tcW w:type="dxa" w:w="6973"/>
          </w:tcPr>
          <w:p>
            <w:r>
              <w:t>Equidade em Saúde; Alocação de Recursos para a Atenção à Saúde; Saneamento Básico  ·  alternativas: Sistemas de Informação em Saúde; Vigilância em Saúde Pública; Indicadores de Desigualdade em Saúde</w:t>
            </w:r>
          </w:p>
        </w:tc>
      </w:tr>
    </w:tbl>
    <w:p/>
    <w:p>
      <w:r>
        <w:rPr>
          <w:b/>
          <w:i w:val="0"/>
          <w:sz w:val="22"/>
        </w:rPr>
        <w:t>Regras do evento que condicionam o texto (fonte: sipes.com.br/trabalhos, consultado em 30/08/2026 — reconferir antes de enviar):</w:t>
      </w:r>
    </w:p>
    <w:p>
      <w:pPr>
        <w:pStyle w:val="ListBullet"/>
        <w:spacing w:after="40"/>
      </w:pPr>
      <w:r>
        <w:t>Resumo em parágrafo único, sem divisão de seções, com no máximo 2.500 caracteres com espaços, contendo introdução, objetivos, metodologia, resultados e conclusões.</w:t>
      </w:r>
    </w:p>
    <w:p>
      <w:pPr>
        <w:pStyle w:val="ListBullet"/>
        <w:spacing w:after="40"/>
      </w:pPr>
      <w:r>
        <w:t>Título com no máximo 50 palavras, apenas a primeira letra maiúscula.</w:t>
      </w:r>
    </w:p>
    <w:p>
      <w:pPr>
        <w:pStyle w:val="ListBullet"/>
        <w:spacing w:after="40"/>
      </w:pPr>
      <w:r>
        <w:t>Três palavras-chave dos vocabulários DeCS ou MeSH.</w:t>
      </w:r>
    </w:p>
    <w:p>
      <w:pPr>
        <w:pStyle w:val="ListBullet"/>
        <w:spacing w:after="40"/>
      </w:pPr>
      <w:r>
        <w:t>Até 6 autores; submissão só pelo formulário on-line; trabalho inédito (não apresentado em outro evento); qualidade textual é critério de avaliação; não há edição de autoria após o aceite.</w:t>
      </w:r>
    </w:p>
    <w:p>
      <w:pPr>
        <w:pStyle w:val="ListBullet"/>
        <w:spacing w:after="40"/>
      </w:pPr>
      <w:r>
        <w:t>Pôster: 120 × 90 cm, com a logomarca do evento obrigatória; design livre; apresentação em português ou inglês.</w:t>
      </w:r>
    </w:p>
    <w:p>
      <w:pPr>
        <w:pStyle w:val="Heading1"/>
      </w:pPr>
      <w:r>
        <w:t>2. Contextualização — o que é o Farol-SS</w:t>
      </w:r>
    </w:p>
    <w:p>
      <w:r>
        <w:rPr>
          <w:b w:val="0"/>
          <w:i w:val="0"/>
          <w:sz w:val="22"/>
        </w:rPr>
        <w:t>Portais de transparência informam quanto se gasta em saúde, mas não se esse gasto acompanha a necessidade de cada território. O Farol-SS é um monitor de código aberto que torna esse descompasso mensurável para os 185 municípios de Pernambuco, no período 2020–2024, cruzando oito fontes federais abertas num grão único de município × ano e produzindo o Índice de Efetividade da Alocação Sanitária (IEAS).</w:t>
      </w:r>
    </w:p>
    <w:p>
      <w:r>
        <w:rPr>
          <w:b/>
          <w:i w:val="0"/>
          <w:sz w:val="22"/>
        </w:rPr>
        <w:t>Entregas já concluídas (base empírica do trabalho):</w:t>
      </w:r>
    </w:p>
    <w:p>
      <w:pPr>
        <w:pStyle w:val="ListBullet"/>
        <w:spacing w:after="40"/>
      </w:pPr>
      <w:r>
        <w:t>Pipeline de dados reprodutível (arquitetura em camadas bronze–silver–gold; DuckDB sobre Parquet; proveniência com SHA-256 em manifest.json).</w:t>
      </w:r>
    </w:p>
    <w:p>
      <w:pPr>
        <w:pStyle w:val="ListBullet"/>
        <w:spacing w:after="40"/>
      </w:pPr>
      <w:r>
        <w:t>IEAS calculado para 921 dos 925 município-anos (185/185 em 2024).</w:t>
      </w:r>
    </w:p>
    <w:p>
      <w:pPr>
        <w:pStyle w:val="ListBullet"/>
        <w:spacing w:after="40"/>
      </w:pPr>
      <w:r>
        <w:t>Quatro detectores de anomalia com alertas explicáveis em linguagem natural (777 alertas emitidos).</w:t>
      </w:r>
    </w:p>
    <w:p>
      <w:pPr>
        <w:pStyle w:val="ListBullet"/>
        <w:spacing w:after="40"/>
      </w:pPr>
      <w:r>
        <w:t>Painel web público (Streamlit), API aberta em JSON/CSV (FastAPI) e relatório técnico completo.</w:t>
      </w:r>
    </w:p>
    <w:p>
      <w:pPr>
        <w:pStyle w:val="ListBullet"/>
        <w:spacing w:after="40"/>
      </w:pPr>
      <w:r>
        <w:t>Submetido ao 2º Concurso de Reúso de Dados Abertos da CGU.</w:t>
      </w:r>
    </w:p>
    <w:p>
      <w:r>
        <w:rPr>
          <w:b w:val="0"/>
          <w:i w:val="0"/>
          <w:color w:val="545C6B"/>
          <w:sz w:val="18"/>
        </w:rPr>
        <w:t>Painel: https://farol-ss.streamlit.app  ·  Código: https://github.com/protazoarium/farol-ss  ·  Relatório técnico: docs/relatorio-tecnico.md do repositório.</w:t>
      </w:r>
    </w:p>
    <w:p>
      <w:pPr>
        <w:pStyle w:val="Heading1"/>
      </w:pPr>
      <w:r>
        <w:t>3. Objetivo do trabalho no SIPES</w:t>
      </w:r>
    </w:p>
    <w:p>
      <w:r>
        <w:rPr>
          <w:b w:val="0"/>
          <w:i w:val="0"/>
          <w:sz w:val="22"/>
        </w:rPr>
        <w:t>Objetivo geral: apresentar o Farol-SS como demonstração de que é possível, a partir exclusivamente de dados abertos, produzir um instrumento reprodutível e explicável de apoio ao controle social e à priorização de auditoria e de investimento em saúde e saneamento.</w:t>
      </w:r>
    </w:p>
    <w:p>
      <w:r>
        <w:rPr>
          <w:b/>
          <w:i w:val="0"/>
          <w:sz w:val="22"/>
        </w:rPr>
        <w:t>Objetivos específicos (recorte para resumo + pôster):</w:t>
      </w:r>
    </w:p>
    <w:p>
      <w:pPr>
        <w:pStyle w:val="ListBullet"/>
        <w:spacing w:after="40"/>
      </w:pPr>
      <w:r>
        <w:t>Descrever a construção do IEAS (fontes, eixos, pesos, normalização por ranque percentil, regra do cinza).</w:t>
      </w:r>
    </w:p>
    <w:p>
      <w:pPr>
        <w:pStyle w:val="ListBullet"/>
        <w:spacing w:after="40"/>
      </w:pPr>
      <w:r>
        <w:t>Apresentar o panorama estadual 2020–2024 (distribuição do farol; municípios em necessidade não atendida).</w:t>
      </w:r>
    </w:p>
    <w:p>
      <w:pPr>
        <w:pStyle w:val="ListBullet"/>
        <w:spacing w:after="40"/>
      </w:pPr>
      <w:r>
        <w:t>Ilustrar os alertas explicáveis como ferramenta de vigilância e controle social (desabastecimento de insumos, sobrepreço, desalinhamento estrutural).</w:t>
      </w:r>
    </w:p>
    <w:p>
      <w:pPr>
        <w:pStyle w:val="ListBullet"/>
        <w:spacing w:after="40"/>
      </w:pPr>
      <w:r>
        <w:t>Discutir limitações (proxy de L1; saneamento como retrato de 2022; maturidade do PNCP) e transferibilidade a outras UFs.</w:t>
      </w:r>
    </w:p>
    <w:p>
      <w:pPr>
        <w:pStyle w:val="Heading1"/>
      </w:pPr>
      <w:r>
        <w:t>4. Fundamentação teórica — protocolo de revisão da literatura</w:t>
      </w:r>
    </w:p>
    <w:p>
      <w:r>
        <w:rPr>
          <w:b w:val="0"/>
          <w:i w:val="0"/>
          <w:sz w:val="22"/>
        </w:rPr>
        <w:t>A fundamentação será construída por extração sistematizada de artigos → fichamento estruturado → redação a partir dos fichamentos. Meta mínima: 12–18 referências efetivamente lidas e fichadas, das quais 8–12 citadas no resumo/pôster e no eventual texto expandido.</w:t>
      </w:r>
    </w:p>
    <w:p>
      <w:pPr>
        <w:pStyle w:val="Heading2"/>
      </w:pPr>
      <w:r>
        <w:t>4.1 Bases e estratégia de busca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Uso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Observação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PubMed / MEDLINE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literatura internacional (equidade, financiamento, DRSAI)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termos MeSH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BVS / LILACS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literatura latino-americana e brasileira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termos DeCS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SciELO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periódicos brasileiros de saúde coletiva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Cad. Saúde Pública, Ciênc. Saúde Colet., Rev. Saúde Pública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Scopus / Web of Science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indicadores compostos, open government data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se houver acesso institucional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Google Scholar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literatura cinzenta, teses, relatórios (Funasa, IPEA, OPAS, Ipea)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rastrear citações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Repositórios de dados/gov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documentação metodológica de SINAN, SIH, SIOPS, PNCP, Censo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não conta como referência teórica</w:t>
            </w:r>
          </w:p>
        </w:tc>
      </w:tr>
    </w:tbl>
    <w:p/>
    <w:p>
      <w:r>
        <w:rPr>
          <w:b/>
          <w:i w:val="0"/>
          <w:sz w:val="22"/>
        </w:rPr>
        <w:t>Strings de busca por eixo (adaptar a cada base; combinar com AND/OR):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38"/>
          </w:tcPr>
          <w:p>
            <w:r>
              <w:rPr>
                <w:b/>
                <w:sz w:val="19"/>
              </w:rPr>
              <w:t>Eixo temático</w:t>
            </w:r>
          </w:p>
        </w:tc>
        <w:tc>
          <w:tcPr>
            <w:tcW w:type="dxa" w:w="6803"/>
          </w:tcPr>
          <w:p>
            <w:r>
              <w:rPr>
                <w:b/>
                <w:sz w:val="19"/>
              </w:rPr>
              <w:t>Descritores / termos (DeCS · MeSH · livres)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Equidade e alocação de recursos em saúde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"Equidade em Saúde"/"Health Equity"; "Alocação de Recursos para a Atenção à Saúde"; "Health Care Rationing"; "Resource Allocation"; "needs-based funding"; "territorial justice" AND health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Financiamento e gasto público em saúde no SUS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"Financiamento da Assistência à Saúde"; "Gastos em Saúde"/"Health Expenditures"; "Sistema Único de Saúde" AND (financiamento OR subfinanciamento OR "per capita")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Saneamento e saúde / DRSAI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"Saneamento Básico"/"Sanitation"; "doenças relacionadas ao saneamento ambiental inadequado"; "waterborne diseases"; "Saneamento" AND (morbidade OR internação OR hospitalização)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Vigilância e sistemas de informação em saúde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"Sistemas de Informação em Saúde"/"Health Information Systems"; "Vigilância em Saúde Pública"; "SINAN"; "record linkage" AND health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Dados abertos governamentais e reúso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"open government data"; "open data" AND (reuse OR "public value" OR accountability); "dados abertos" AND (saúde OR governo)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Indicadores compostos / índices territoriais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"composite indicator"; "index construction" AND health; "percentile rank" normalization; "small-area" AND (health OR deprivation) AND index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Alertas / red flags em contratações públicas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"corruption risk" AND "public procurement"; "red flags" procurement; "price analysis" AND (medicines OR "health supplies") AND public</w:t>
            </w:r>
          </w:p>
        </w:tc>
      </w:tr>
    </w:tbl>
    <w:p/>
    <w:p>
      <w:pPr>
        <w:pStyle w:val="Heading2"/>
      </w:pPr>
      <w:r>
        <w:t>4.2 Critérios de inclusão e exclusão</w:t>
      </w:r>
    </w:p>
    <w:p>
      <w:pPr>
        <w:pStyle w:val="ListBullet"/>
        <w:spacing w:after="40"/>
      </w:pPr>
      <w:r>
        <w:t>Inclusão: artigos revisados por pares, relatórios técnicos de órgãos oficiais (OPAS, Funasa, IPEA, Ministério da Saúde, Banco Mundial) e livros de referência; 2000–2026; português, inglês ou espanhol; aderência a pelo menos um eixo temático.</w:t>
      </w:r>
    </w:p>
    <w:p>
      <w:pPr>
        <w:pStyle w:val="ListBullet"/>
        <w:spacing w:after="40"/>
      </w:pPr>
      <w:r>
        <w:t>Exclusão: editoriais e cartas sem dado próprio; trabalhos sem método descrito; duplicatas; textos sem acesso ao conteúdo completo.</w:t>
      </w:r>
    </w:p>
    <w:p>
      <w:pPr>
        <w:pStyle w:val="ListBullet"/>
        <w:spacing w:after="40"/>
      </w:pPr>
      <w:r>
        <w:t>Registrar o fluxo (identificados → após remoção de duplicatas → triados por título/resumo → lidos na íntegra → incluídos) numa tabela no estilo PRISMA, mesmo sem revisão sistemática formal.</w:t>
      </w:r>
    </w:p>
    <w:p>
      <w:pPr>
        <w:pStyle w:val="Heading2"/>
      </w:pPr>
      <w:r>
        <w:t>4.3 Modelo de fichamento (uma linha por artigo)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r>
              <w:rPr>
                <w:b/>
                <w:sz w:val="19"/>
              </w:rPr>
              <w:t>Campo</w:t>
            </w:r>
          </w:p>
        </w:tc>
        <w:tc>
          <w:tcPr>
            <w:tcW w:type="dxa" w:w="6123"/>
          </w:tcPr>
          <w:p>
            <w:r>
              <w:rPr>
                <w:b/>
                <w:sz w:val="19"/>
              </w:rPr>
              <w:t>O que preencher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Referência (ABNT NBR 6023)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sobrenome, iniciais; título; periódico; v., n., p.; ano; DOI/URL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 de estudo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revisão, ecológico, coorte, análise documental, relatório, ensaio teórico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Objetivo do estudo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1–2 frases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Método / dados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população, fontes, período, técnica analítica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Principais achados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3–5 pontos, com números quando houver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Conceito/definição que empresta ao trabalho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ex.: definição de DRSAI; de equidade horizontal/vertical; de needs-based allocation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Como se relaciona com o Farol-SS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sustenta a introdução? o método? a discussão? contrapõe algo?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Citação-chave (trecho literal + página)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1–2 trechos entre aspas, para citação direta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Onde entra no texto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Introdução / Metodologia / Resultados-discussão / Limitações</w:t>
            </w:r>
          </w:p>
        </w:tc>
      </w:tr>
    </w:tbl>
    <w:p/>
    <w:p>
      <w:r>
        <w:rPr>
          <w:b w:val="0"/>
          <w:i w:val="0"/>
          <w:color w:val="545C6B"/>
          <w:sz w:val="18"/>
        </w:rPr>
        <w:t>Sugestão operacional: manter os fichamentos numa planilha (uma aba por eixo) e exportar a bibliografia final para um gerenciador (Zotero/Mendeley) com o estilo ABNT.</w:t>
      </w:r>
    </w:p>
    <w:p>
      <w:pPr>
        <w:pStyle w:val="Heading2"/>
      </w:pPr>
      <w:r>
        <w:t>4.4 Bibliografia inicial — referências candidatas (CONFERIR dados completos)</w:t>
      </w:r>
    </w:p>
    <w:p>
      <w:r>
        <w:rPr>
          <w:b w:val="0"/>
          <w:i/>
          <w:color w:val="545C6B"/>
          <w:sz w:val="22"/>
        </w:rPr>
        <w:t>Lista de partida por tema. Todas são obras reais e conhecidas na área, mas os dados bibliográficos completos (volume, página, ano exato, DOI) devem ser confirmados na base antes de citar. Não citar nada que não tenha sido lido e fichado.</w:t>
      </w:r>
    </w:p>
    <w:p>
      <w:pPr>
        <w:pStyle w:val="Heading3"/>
      </w:pPr>
      <w:r>
        <w:t>Sistema de saúde brasileiro e financiamento</w:t>
      </w:r>
    </w:p>
    <w:p>
      <w:pPr>
        <w:pStyle w:val="ListBullet"/>
        <w:spacing w:after="40"/>
      </w:pPr>
      <w:r>
        <w:t>PAIM, J. et al. The Brazilian health system: history, advances, and challenges. The Lancet, 2011.</w:t>
      </w:r>
    </w:p>
    <w:p>
      <w:pPr>
        <w:pStyle w:val="ListBullet"/>
        <w:spacing w:after="40"/>
      </w:pPr>
      <w:r>
        <w:t>CASTRO, M. C. et al. Brazil's unified health system: the first 30 years and prospects for the future. The Lancet, 2019.</w:t>
      </w:r>
    </w:p>
    <w:p>
      <w:pPr>
        <w:pStyle w:val="ListBullet"/>
        <w:spacing w:after="40"/>
      </w:pPr>
      <w:r>
        <w:t>MENDES, A.; MARQUES, R. M. O financiamento do SUS sob os "ventos" da financeirização. Ciência &amp; Saúde Coletiva.</w:t>
      </w:r>
    </w:p>
    <w:p>
      <w:pPr>
        <w:pStyle w:val="ListBullet"/>
        <w:spacing w:after="40"/>
      </w:pPr>
      <w:r>
        <w:t>VIEIRA, F. S.; BENEVIDES, R. P. S. Os impactos do Novo Regime Fiscal para o financiamento do SUS. Ipea, Nota Técnica.</w:t>
      </w:r>
    </w:p>
    <w:p>
      <w:pPr>
        <w:pStyle w:val="ListBullet"/>
        <w:spacing w:after="40"/>
      </w:pPr>
      <w:r>
        <w:t>PIOLA, S. F. et al. Financiamento público da saúde: uma história à procura de rumo. Ipea, Texto para Discussão.</w:t>
      </w:r>
    </w:p>
    <w:p>
      <w:pPr>
        <w:pStyle w:val="Heading3"/>
      </w:pPr>
      <w:r>
        <w:t>Equidade e alocação de recursos em saúde</w:t>
      </w:r>
    </w:p>
    <w:p>
      <w:pPr>
        <w:pStyle w:val="ListBullet"/>
        <w:spacing w:after="40"/>
      </w:pPr>
      <w:r>
        <w:t>WHITEHEAD, M. The concepts and principles of equity and health. International Journal of Health Services, 1992.</w:t>
      </w:r>
    </w:p>
    <w:p>
      <w:pPr>
        <w:pStyle w:val="ListBullet"/>
        <w:spacing w:after="40"/>
      </w:pPr>
      <w:r>
        <w:t>RICE, N.; SMITH, P. C. Capitation and risk adjustment in health care financing. Milbank Quarterly.</w:t>
      </w:r>
    </w:p>
    <w:p>
      <w:pPr>
        <w:pStyle w:val="ListBullet"/>
        <w:spacing w:after="40"/>
      </w:pPr>
      <w:r>
        <w:t>PORTO, S. M. et al. Metodologia de alocação equitativa de recursos / alocação de recursos financeiros no SUS (Fiocruz/DAD).</w:t>
      </w:r>
    </w:p>
    <w:p>
      <w:pPr>
        <w:pStyle w:val="ListBullet"/>
        <w:spacing w:after="40"/>
      </w:pPr>
      <w:r>
        <w:t>ASTHANA, S.; GIBSON, A. Health care equity, health equity and resource allocation. (territorial/needs-based funding)</w:t>
      </w:r>
    </w:p>
    <w:p>
      <w:pPr>
        <w:pStyle w:val="Heading3"/>
      </w:pPr>
      <w:r>
        <w:t>Saneamento e saúde (DRSAI)</w:t>
      </w:r>
    </w:p>
    <w:p>
      <w:pPr>
        <w:pStyle w:val="ListBullet"/>
        <w:spacing w:after="40"/>
      </w:pPr>
      <w:r>
        <w:t>FUNASA. Manual de saneamento / classificação das Doenças Relacionadas ao Saneamento Ambiental Inadequado (DRSAI).</w:t>
      </w:r>
    </w:p>
    <w:p>
      <w:pPr>
        <w:pStyle w:val="ListBullet"/>
        <w:spacing w:after="40"/>
      </w:pPr>
      <w:r>
        <w:t>HELLER, L. Saneamento e saúde. Brasília: OPAS/OMS, 1997.</w:t>
      </w:r>
    </w:p>
    <w:p>
      <w:pPr>
        <w:pStyle w:val="ListBullet"/>
        <w:spacing w:after="40"/>
      </w:pPr>
      <w:r>
        <w:t>TEIXEIRA, J. C.; HELLER, L. e cols. Fatores ambientais associados às doenças diarreicas / associação saneamento–saúde.</w:t>
      </w:r>
    </w:p>
    <w:p>
      <w:pPr>
        <w:pStyle w:val="ListBullet"/>
        <w:spacing w:after="40"/>
      </w:pPr>
      <w:r>
        <w:t>BARRETO, M. L. et al. Impact of a citywide sanitation program in Northeast Brazil on diarrhoea. The Lancet, 2007.</w:t>
      </w:r>
    </w:p>
    <w:p>
      <w:pPr>
        <w:pStyle w:val="Heading3"/>
      </w:pPr>
      <w:r>
        <w:t>Sistemas de informação e vigilância em saúde</w:t>
      </w:r>
    </w:p>
    <w:p>
      <w:pPr>
        <w:pStyle w:val="ListBullet"/>
        <w:spacing w:after="40"/>
      </w:pPr>
      <w:r>
        <w:t>BRASIL. Ministério da Saúde. SINAN: normas e rotinas / Sistema de Informação de Agravos de Notificação.</w:t>
      </w:r>
    </w:p>
    <w:p>
      <w:pPr>
        <w:pStyle w:val="ListBullet"/>
        <w:spacing w:after="40"/>
      </w:pPr>
      <w:r>
        <w:t>BRASIL. Ministério da Saúde. SIH-SUS: manual técnico do Sistema de Informações Hospitalares.</w:t>
      </w:r>
    </w:p>
    <w:p>
      <w:pPr>
        <w:pStyle w:val="ListBullet"/>
        <w:spacing w:after="40"/>
      </w:pPr>
      <w:r>
        <w:t>LIMA, C. R. A. et al. Qualidade dos dados dos sistemas de informação em saúde no Brasil (revisão).</w:t>
      </w:r>
    </w:p>
    <w:p>
      <w:pPr>
        <w:pStyle w:val="Heading3"/>
      </w:pPr>
      <w:r>
        <w:t>Dados abertos governamentais e reúso</w:t>
      </w:r>
    </w:p>
    <w:p>
      <w:pPr>
        <w:pStyle w:val="ListBullet"/>
        <w:spacing w:after="40"/>
      </w:pPr>
      <w:r>
        <w:t>JANSSEN, M.; CHARALABIDIS, Y.; ZUIDERWIJK, A. Benefits, adoption barriers and myths of open data and open government. Information Systems Management, 2012.</w:t>
      </w:r>
    </w:p>
    <w:p>
      <w:pPr>
        <w:pStyle w:val="ListBullet"/>
        <w:spacing w:after="40"/>
      </w:pPr>
      <w:r>
        <w:t>ATTARD, J. et al. A systematic review of open government data initiatives. Government Information Quarterly, 2015.</w:t>
      </w:r>
    </w:p>
    <w:p>
      <w:pPr>
        <w:pStyle w:val="ListBullet"/>
        <w:spacing w:after="40"/>
      </w:pPr>
      <w:r>
        <w:t>OPEN KNOWLEDGE / W3C. Open Data Handbook; Data on the Web Best Practices.</w:t>
      </w:r>
    </w:p>
    <w:p>
      <w:pPr>
        <w:pStyle w:val="ListBullet"/>
        <w:spacing w:after="40"/>
      </w:pPr>
      <w:r>
        <w:t>BRASIL. CGU. Portal Brasileiro de Dados Abertos — documentação e diretrizes de reúso.</w:t>
      </w:r>
    </w:p>
    <w:p>
      <w:pPr>
        <w:pStyle w:val="Heading3"/>
      </w:pPr>
      <w:r>
        <w:t>Indicadores compostos e análise espacial em saúde</w:t>
      </w:r>
    </w:p>
    <w:p>
      <w:pPr>
        <w:pStyle w:val="ListBullet"/>
        <w:spacing w:after="40"/>
      </w:pPr>
      <w:r>
        <w:t>OECD; JRC. Handbook on Constructing Composite Indicators: methodology and user guide. 2008.</w:t>
      </w:r>
    </w:p>
    <w:p>
      <w:pPr>
        <w:pStyle w:val="ListBullet"/>
        <w:spacing w:after="40"/>
      </w:pPr>
      <w:r>
        <w:t>BARCELLOS, C.; SANTOS, S. M. Colocando dados no mapa: a escolha da unidade espacial de agregação. Cad. Saúde Pública.</w:t>
      </w:r>
    </w:p>
    <w:p>
      <w:pPr>
        <w:pStyle w:val="ListBullet"/>
        <w:spacing w:after="40"/>
      </w:pPr>
      <w:r>
        <w:t>CARVALHO, M. S.; SOUZA-SANTOS, R. Análise de dados espaciais em saúde pública. Cad. Saúde Pública.</w:t>
      </w:r>
    </w:p>
    <w:p>
      <w:pPr>
        <w:pStyle w:val="Heading3"/>
      </w:pPr>
      <w:r>
        <w:t>Integridade em contratações públicas de saúde</w:t>
      </w:r>
    </w:p>
    <w:p>
      <w:pPr>
        <w:pStyle w:val="ListBullet"/>
        <w:spacing w:after="40"/>
      </w:pPr>
      <w:r>
        <w:t>FAZEKAS, M.; TÓTH, I. J. Corruption risk indicators in public procurement (objective/red-flag approach).</w:t>
      </w:r>
    </w:p>
    <w:p>
      <w:pPr>
        <w:pStyle w:val="ListBullet"/>
        <w:spacing w:after="40"/>
      </w:pPr>
      <w:r>
        <w:t>OPEN CONTRACTING PARTNERSHP. Red flags for integrity in public contracting.</w:t>
      </w:r>
    </w:p>
    <w:p>
      <w:pPr>
        <w:pStyle w:val="ListBullet"/>
        <w:spacing w:after="40"/>
      </w:pPr>
      <w:r>
        <w:t>BRASIL. TCU / CGU. Referenciais de preços e sobrepreço em compras públicas de medicamentos e insumos.</w:t>
      </w:r>
    </w:p>
    <w:p>
      <w:pPr>
        <w:pStyle w:val="Heading1"/>
      </w:pPr>
      <w:r>
        <w:t>5. Metodologia do Farol-SS (síntese para o texto)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298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i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545C6B"/>
          <w:sz w:val="18"/>
        </w:rPr>
        <w:t>Figura 1. Construção do IEAS — das oito fontes federais aos dois eixos ponderados, ao ranque percentil, ao gap e ao semáforo. (candidata a figura do pôster)</w:t>
      </w:r>
    </w:p>
    <w:p>
      <w:pPr>
        <w:pStyle w:val="ListBullet"/>
        <w:spacing w:after="40"/>
      </w:pPr>
      <w:r>
        <w:t>Recorte: 185 municípios de Pernambuco, 2020–2024; grão canônico município × ano (grade completa 185 × 5 = 925).</w:t>
      </w:r>
    </w:p>
    <w:p>
      <w:pPr>
        <w:pStyle w:val="ListBullet"/>
        <w:spacing w:after="40"/>
      </w:pPr>
      <w:r>
        <w:t>Oito fontes federais abertas (todas catalogadas no dados.gov.br): SINAN (arboviroses e doenças de veiculação hídrica); SIH-SUS grupo RD (internações por DRSAI, por município de residência); Censo 2022 do IBGE (déficit de água, esgoto e coleta de lixo); CadÚnico/SAGI (taxa de famílias em extrema pobreza); SIOPS (despesa própria municipal em saúde por habitante); PNCP e Compras.gov.br (contratação de insumos, L3 municipal + federal); Portal da Transparência (transferências federais, proxy de L1).</w:t>
      </w:r>
    </w:p>
    <w:p>
      <w:pPr>
        <w:pStyle w:val="ListBullet"/>
        <w:spacing w:after="40"/>
      </w:pPr>
      <w:r>
        <w:t>Pipeline reprodutível em camadas (bronze → silver → gold), DuckDB sobre Parquet, sem servidor de banco; proveniência (URL, SHA-256, contagem de linhas, data) registrada em manifest.json.</w:t>
      </w:r>
    </w:p>
    <w:p>
      <w:pPr>
        <w:pStyle w:val="ListBullet"/>
        <w:spacing w:after="40"/>
      </w:pPr>
      <w:r>
        <w:t>Eixo Necessidade (N): média ponderada de três subíndices — epidemiológico 0,40 (arboviroses + veiculação hídrica + internações DRSAI), saneamento 0,35 (déficit ponderado água 0,35 / esgoto 0,45 / lixo 0,20), vulnerabilidade 0,25 (extrema pobreza).</w:t>
      </w:r>
    </w:p>
    <w:p>
      <w:pPr>
        <w:pStyle w:val="ListBullet"/>
        <w:spacing w:after="40"/>
      </w:pPr>
      <w:r>
        <w:t>Eixo Alocação (A): média ponderada de três camadas per capita deflacionadas para 2024 pelo IPCA — L1 repasse federal 0,35, L2 execução própria 0,40, L3 contratação de insumos 0,25.</w:t>
      </w:r>
    </w:p>
    <w:p>
      <w:pPr>
        <w:pStyle w:val="ListBullet"/>
        <w:spacing w:after="40"/>
      </w:pPr>
      <w:r>
        <w:t>Normalização: cada eixo é convertido em ranque percentil ∈ [0, 1] entre os 185 municípios (posição relativa, não valor absoluto — robustez a inflação, escala e outliers).</w:t>
      </w:r>
    </w:p>
    <w:p>
      <w:pPr>
        <w:pStyle w:val="ListBullet"/>
        <w:spacing w:after="40"/>
      </w:pPr>
      <w:r>
        <w:t>Índice: gap = ranque(A) − ranque(N) ∈ [−1, 1] colore um semáforo de quatro cores; ieas = 1 − |gap| mede alinhamento. "Regra do cinza": sem cobertura mínima de componentes (60% em N, 50% em A) o índice não é publicado.</w:t>
      </w:r>
    </w:p>
    <w:p>
      <w:pPr>
        <w:pStyle w:val="ListBullet"/>
        <w:spacing w:after="40"/>
      </w:pPr>
      <w:r>
        <w:t>Quatro detectores de anomalia com explicação em linguagem natural: (1) desalinhamento estrutural (farol vermelho); (2) alocação abaixo do esperado (resíduo robusto de regressão necessidade→alocação, por ano); (3) suspeita de sobrepreço (preço unitário acima de Q3 + 1,5·IQR da mesma categoria/unidade/dose); (4) suspeita de desabastecimento (incidência sustentada de um agravo sem contratação do insumo correspondente).</w:t>
      </w:r>
    </w:p>
    <w:p>
      <w:pPr>
        <w:pStyle w:val="ListBullet"/>
        <w:spacing w:after="40"/>
      </w:pPr>
      <w:r>
        <w:t>Software e reprodutibilidade: ~6.100 linhas de Python; 75 testes automatizados; código sob domínio público.</w:t>
      </w:r>
    </w:p>
    <w:p>
      <w:pPr>
        <w:pStyle w:val="Heading1"/>
      </w:pPr>
      <w:r>
        <w:t>6. Resultados principais (síntese para o texto)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5839"/>
          </w:tcPr>
          <w:p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Município-anos com IEAS calculado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  <w:t>921 de 925 (185/185 em 2024)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Farol — todos os anos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  <w:t>383 verde · 202 vermelho · 176 azul · 160 amarelo · 4 cinza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Farol — 2024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  <w:t>104 verde · 60 azul · 19 amarelo · 2 vermelho · 0 cinza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Alertas emitidos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  <w:t>777 (570 suspeita de desabastecimento · 202 desalinhamento estrutural · 4 alocação abaixo do esperado · 1 suspeita de sobrepreço)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Volume ingerido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  <w:t>271.505 notificações (SINAN) · 22.597 internações DRSAI (SIH) · 6.150 contratos + 4.691 itens (PNCP)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Cobertura mediana de saneamento em PE (Censo 2022)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  <w:t>água 64% · esgoto 48% · coleta de lixo 74%</w:t>
            </w:r>
          </w:p>
        </w:tc>
      </w:tr>
    </w:tbl>
    <w:p/>
    <w:p>
      <w:pPr>
        <w:pStyle w:val="ListBullet"/>
        <w:spacing w:after="40"/>
      </w:pPr>
      <w:r>
        <w:t>A distribuição do farol muda ano a ano: 2020–2022 concentram os vermelhos (necessidade no topo, alocação no fundo); 2023–2024 pendem para verde/azul — parte por crescimento real de repasse e execução, parte por sensibilidade do eixo Alocação ao peso de L1 (proxy).</w:t>
      </w:r>
    </w:p>
    <w:p>
      <w:pPr>
        <w:pStyle w:val="ListBullet"/>
        <w:spacing w:after="40"/>
      </w:pPr>
      <w:r>
        <w:t>As baixas coberturas censitárias de saneamento sustentam necessidade elevada em quase todo o estado; o componente de internações DRSAI reforça o sinal onde a carga hospitalar por doença de veiculação hídrica é alta.</w:t>
      </w:r>
    </w:p>
    <w:p>
      <w:pPr>
        <w:pStyle w:val="ListBullet"/>
        <w:spacing w:after="40"/>
      </w:pPr>
      <w:r>
        <w:t>Os alertas de desabastecimento concentram-se nos anos de surto de arbovirose (2022 e 2024).</w:t>
      </w:r>
    </w:p>
    <w:p>
      <w:pPr>
        <w:pStyle w:val="Heading1"/>
      </w:pPr>
      <w:r>
        <w:t>7. Rascunho do resumo (parágrafo único — ajustar para ≤ 2.500 caracteres)</w:t>
      </w:r>
    </w:p>
    <w:p>
      <w:pPr>
        <w:spacing w:line="312" w:lineRule="auto"/>
      </w:pPr>
      <w:r>
        <w:t>A alocação de recursos públicos em saúde e a carga de doença não se distribuem de forma equivalente no território, e os portais de transparência informam quanto se gasta, mas não se o gasto acompanha a necessidade de cada município. O objetivo foi desenvolver e disponibilizar o Farol da Saúde &amp; Saneamento (Farol-SS), monitor territorial de código aberto que quantifica o alinhamento entre necessidade sanitária e alocação de recursos nos 185 municípios de Pernambuco (2020–2024). Metodologia: um pipeline de dados reprodutível (arquitetura em camadas, DuckDB sobre Parquet, proveniência rastreável) integrou oito fontes federais abertas — notificações do SINAN, internações do SIH-SUS por doenças relacionadas ao saneamento, déficit de saneamento do Censo 2022, extrema pobreza do CadÚnico, execução própria municipal em saúde (SIOPS), contratação de insumos (PNCP e Compras.gov.br) e transferências federais (Portal da Transparência) — num grão único de município × ano. Construiu-se o Índice de Efetividade da Alocação Sanitária (IEAS): dois eixos, Necessidade (epidemiológico, saneamento e vulnerabilidade social) e Alocação (repasse federal, execução própria e contratação de insumos, em reais per capita deflacionados), convertidos em ranque percentil dentro do estado; a diferença gap = ranque(Alocação) − ranque(Necessidade) colore um semáforo de quatro cores, e uma regra do cinza impede o cálculo quando a cobertura de dados é insuficiente. Quatro detectores geram alertas explicáveis em linguagem natural (desalinhamento estrutural, alocação abaixo do esperado, suspeita de sobrepreço e suspeita de desabastecimento de insumos). Resultados: o IEAS foi calculado para 921 dos 925 município-anos (185 de 185 em 2024); 202 município-anos ficaram em situação de necessidade não atendida e foram emitidos 777 alertas; as coberturas censitárias medianas de água (64%), esgoto (48%) e coleta de lixo (74%) sustentam necessidade elevada em quase todo o estado. A entrega inclui painel web, API aberta em JSON/CSV e relatório técnico, com proveniência de cada dado. Conclusões: é viável, a partir exclusivamente de dados abertos, produzir um instrumento reprodutível e explicável de apoio ao controle social e à priorização de auditoria e de investimento em saúde e saneamento, transferível a outras unidades da federação.</w:t>
      </w:r>
    </w:p>
    <w:p>
      <w:r>
        <w:rPr>
          <w:b w:val="0"/>
          <w:i w:val="0"/>
          <w:color w:val="1C8CB0"/>
          <w:sz w:val="18"/>
        </w:rPr>
        <w:t>[Contagem automática: 2325 caracteres com espaços. Limite do evento: 2.500. Dentro do limite. Reconferir no formulário — a contagem pode diferir por conta de travessão, × e sinal de menos.]</w:t>
      </w:r>
    </w:p>
    <w:p>
      <w:pPr>
        <w:pStyle w:val="ListBullet"/>
        <w:spacing w:after="40"/>
      </w:pPr>
      <w:r>
        <w:t>Se a contagem do formulário estourar 2.500: substituir a lista de fontes por "oito fontes federais abertas", enxugar a descrição dos quatro detectores e a frase sobre a entrega/proveniência.</w:t>
      </w:r>
    </w:p>
    <w:p>
      <w:pPr>
        <w:pStyle w:val="ListBullet"/>
        <w:spacing w:after="40"/>
      </w:pPr>
      <w:r>
        <w:t>Revisar: uso de travessão (—) vs. hífen; "ranque" vs. "rank"; manter um único tempo verbal por seção.</w:t>
      </w:r>
    </w:p>
    <w:p>
      <w:pPr>
        <w:pStyle w:val="Heading1"/>
      </w:pPr>
      <w:r>
        <w:t>8. Estrutura do pôster (banner 120 × 90 cm)</w:t>
      </w:r>
    </w:p>
    <w:p>
      <w:r>
        <w:rPr>
          <w:b/>
          <w:i w:val="0"/>
          <w:sz w:val="22"/>
        </w:rPr>
        <w:t>Ver o arquivo banner-sipes-2026-modelo.docx (modelo em escala, já com a logo do evento). Conteúdo por bloco: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Bloco</w:t>
            </w:r>
          </w:p>
        </w:tc>
        <w:tc>
          <w:tcPr>
            <w:tcW w:type="dxa" w:w="7257"/>
          </w:tcPr>
          <w:p>
            <w:r>
              <w:rPr>
                <w:b/>
                <w:sz w:val="19"/>
              </w:rPr>
              <w:t>Conteúdo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Cabeçalho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logo do V SIPES (obrigatória) · título · autores e filiações · e-mail do 1º autor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Introdução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o descompasso necessidade × alocação; lacuna que os portais de transparência não cobrem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Objetivos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geral + 2–3 específicos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Metodologia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Figura 1 (diagrama do IEAS) + texto curto: fontes, eixos, ranque percentil, regra do cinza, detectores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Resultados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mapa do farol de PE (2024) + tabela-resumo (921/925; distribuição do farol; 777 alertas) + 1 exemplo de alerta explicável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Conclusões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viabilidade com dados abertos; usos (controle social, auditoria, priorização); transferibilidade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Limitações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proxy de L1; saneamento = retrato 2022; maturidade do PNCP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Rodapé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referências (5–8, fonte reduzida) · QR do painel · "V SIPES 2026 · Recife-PE"</w:t>
            </w:r>
          </w:p>
        </w:tc>
      </w:tr>
    </w:tbl>
    <w:p/>
    <w:p>
      <w:pPr>
        <w:pStyle w:val="ListBullet"/>
        <w:spacing w:after="40"/>
      </w:pPr>
      <w:r>
        <w:t>Figuras a preparar: (a) diagrama do IEAS — já em assets/diagrama-ieas.png; (b) mapa coroplético do farol para 2024 — exportar da página Farol do painel; (c) opcional: recorte da página Alertas com um alerta em linguagem natural.</w:t>
      </w:r>
    </w:p>
    <w:p>
      <w:pPr>
        <w:pStyle w:val="Heading1"/>
      </w:pPr>
      <w:r>
        <w:t>9. Cronograma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</w:tcPr>
          <w:p>
            <w:r>
              <w:rPr>
                <w:b/>
                <w:sz w:val="19"/>
              </w:rPr>
              <w:t>Semana / data</w:t>
            </w:r>
          </w:p>
        </w:tc>
        <w:tc>
          <w:tcPr>
            <w:tcW w:type="dxa" w:w="6633"/>
          </w:tcPr>
          <w:p>
            <w:r>
              <w:rPr>
                <w:b/>
                <w:sz w:val="19"/>
              </w:rPr>
              <w:t>Entrega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Até 15/06/2026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Definir autores, área temática e modalidade; abrir a planilha de fichamento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16–30/06/2026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Buscas nas bases; triagem por título/resumo; selecionar 15–20 textos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01–15/07/2026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Leitura na íntegra e fichamento (mínimo 12 fichas); fechar bibliografia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16–24/07/2026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Redigir o resumo (parágrafo único ≤ 2.500 caracteres); revisão de português; conferir palavras-chave no DeCS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25–29/07/2026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Revisão final e SUBMISSÃO na 1ª rodada (prazo 30/07/2026; resultado até 30/08)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Contingência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2ª rodada 30/08 (resultado 30/09) · 3ª rodada 30/09 (resultado 20/10)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Após aceite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Montar o banner no modelo; preparar mapa e QR; ensaiar apresentação (10+5 min se oral)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25–27/11/2026</w:t>
            </w:r>
          </w:p>
        </w:tc>
        <w:tc>
          <w:tcPr>
            <w:tcW w:type="dxa" w:w="6633"/>
          </w:tcPr>
          <w:p>
            <w:r>
              <w:rPr>
                <w:sz w:val="19"/>
              </w:rPr>
              <w:t>Apresentação no evento (Recife-PE)</w:t>
            </w:r>
          </w:p>
        </w:tc>
      </w:tr>
    </w:tbl>
    <w:p/>
    <w:p>
      <w:pPr>
        <w:pStyle w:val="Heading1"/>
      </w:pPr>
      <w:r>
        <w:t>10. Divisão de tarefas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</w:tcPr>
          <w:p>
            <w:r>
              <w:rPr>
                <w:b/>
                <w:sz w:val="19"/>
              </w:rPr>
              <w:t>Frente</w:t>
            </w:r>
          </w:p>
        </w:tc>
        <w:tc>
          <w:tcPr>
            <w:tcW w:type="dxa" w:w="1984"/>
          </w:tcPr>
          <w:p>
            <w:r>
              <w:rPr>
                <w:b/>
                <w:sz w:val="19"/>
              </w:rPr>
              <w:t>Responsável</w:t>
            </w:r>
          </w:p>
        </w:tc>
        <w:tc>
          <w:tcPr>
            <w:tcW w:type="dxa" w:w="4139"/>
          </w:tcPr>
          <w:p>
            <w:r>
              <w:rPr>
                <w:b/>
                <w:sz w:val="19"/>
              </w:rPr>
              <w:t>Produto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Revisão de literatura e fichamento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  <w:t>planilha de fichas + bibliografia ABNT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Redação do resumo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  <w:t>resumo final ≤ 2.500 caracteres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Figuras (diagrama, mapa, alerta)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  <w:t>PNGs em alta resolução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Banner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  <w:t>PDF 90 × 120 cm, 300 dpi, com logo do evento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Submissão e acompanhamento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  <w:t>comprovante + e-mails do comitê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Apresentação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4139"/>
          </w:tcPr>
          <w:p>
            <w:r>
              <w:rPr>
                <w:sz w:val="19"/>
              </w:rPr>
              <w:t>roteiro de 10 min + respostas a perguntas prováveis</w:t>
            </w:r>
          </w:p>
        </w:tc>
      </w:tr>
    </w:tbl>
    <w:p/>
    <w:p>
      <w:pPr>
        <w:pStyle w:val="Heading1"/>
      </w:pPr>
      <w:r>
        <w:t>11. Checklist de submissão</w:t>
      </w:r>
    </w:p>
    <w:p>
      <w:pPr>
        <w:pStyle w:val="ListBullet"/>
        <w:spacing w:after="40"/>
      </w:pPr>
      <w:r>
        <w:rPr>
          <w:sz w:val="21"/>
        </w:rPr>
        <w:t>Resumo em parágrafo único, sem seções, com introdução, objetivos, metodologia, resultados e conclusões</w:t>
      </w:r>
    </w:p>
    <w:p>
      <w:pPr>
        <w:pStyle w:val="ListBullet"/>
        <w:spacing w:after="40"/>
      </w:pPr>
      <w:r>
        <w:rPr>
          <w:sz w:val="21"/>
        </w:rPr>
        <w:t>Resumo com no máximo 2.500 caracteres COM espaços (conferir com acentuação)</w:t>
      </w:r>
    </w:p>
    <w:p>
      <w:pPr>
        <w:pStyle w:val="ListBullet"/>
        <w:spacing w:after="40"/>
      </w:pPr>
      <w:r>
        <w:rPr>
          <w:sz w:val="21"/>
        </w:rPr>
        <w:t>Título com no máximo 50 palavras, só a primeira letra maiúscula</w:t>
      </w:r>
    </w:p>
    <w:p>
      <w:pPr>
        <w:pStyle w:val="ListBullet"/>
        <w:spacing w:after="40"/>
      </w:pPr>
      <w:r>
        <w:rPr>
          <w:sz w:val="21"/>
        </w:rPr>
        <w:t>Exatamente 3 palavras-chave, todas do DeCS ou do MeSH (verificado no navegador oficial)</w:t>
      </w:r>
    </w:p>
    <w:p>
      <w:pPr>
        <w:pStyle w:val="ListBullet"/>
        <w:spacing w:after="40"/>
      </w:pPr>
      <w:r>
        <w:rPr>
          <w:sz w:val="21"/>
        </w:rPr>
        <w:t>No máximo 6 autores; 1º autor não é principal em outro trabalho; nome completo + e-mail + instituição de cada um</w:t>
      </w:r>
    </w:p>
    <w:p>
      <w:pPr>
        <w:pStyle w:val="ListBullet"/>
        <w:spacing w:after="40"/>
      </w:pPr>
      <w:r>
        <w:rPr>
          <w:sz w:val="21"/>
        </w:rPr>
        <w:t>Trabalho inédito (não apresentado em outro evento)</w:t>
      </w:r>
    </w:p>
    <w:p>
      <w:pPr>
        <w:pStyle w:val="ListBullet"/>
        <w:spacing w:after="40"/>
      </w:pPr>
      <w:r>
        <w:rPr>
          <w:sz w:val="21"/>
        </w:rPr>
        <w:t>Submissão feita pelo formulário on-line (não por e-mail)</w:t>
      </w:r>
    </w:p>
    <w:p>
      <w:pPr>
        <w:pStyle w:val="ListBullet"/>
        <w:spacing w:after="40"/>
      </w:pPr>
      <w:r>
        <w:rPr>
          <w:sz w:val="21"/>
        </w:rPr>
        <w:t>Área temática selecionada entre os 11 eixos do evento</w:t>
      </w:r>
    </w:p>
    <w:p>
      <w:pPr>
        <w:pStyle w:val="ListBullet"/>
        <w:spacing w:after="40"/>
      </w:pPr>
      <w:r>
        <w:rPr>
          <w:sz w:val="21"/>
        </w:rPr>
        <w:t>Revisão de português feita por pessoa diferente de quem redigiu</w:t>
      </w:r>
    </w:p>
    <w:p>
      <w:pPr>
        <w:pStyle w:val="ListBullet"/>
        <w:spacing w:after="40"/>
      </w:pPr>
      <w:r>
        <w:rPr>
          <w:sz w:val="21"/>
        </w:rPr>
        <w:t>Guardar comprovante de submissão e a data da rodada</w:t>
      </w:r>
    </w:p>
    <w:p>
      <w:pPr>
        <w:pStyle w:val="ListBullet"/>
        <w:spacing w:after="40"/>
      </w:pPr>
      <w:r>
        <w:rPr>
          <w:sz w:val="21"/>
        </w:rPr>
        <w:t>Para o pôster: banner 120 × 90 cm com a logomarca do V SIPES; PDF final em 300 dpi</w:t>
      </w:r>
    </w:p>
    <w:p>
      <w:pPr>
        <w:pStyle w:val="ListBullet"/>
        <w:spacing w:after="40"/>
      </w:pPr>
      <w:r>
        <w:rPr>
          <w:sz w:val="21"/>
        </w:rPr>
        <w:t>Reconferir todas as regras em sipes.com.br/trabalhos antes de enviar (podem ter mudado)</w:t>
      </w:r>
    </w:p>
    <w:p>
      <w:pPr>
        <w:pStyle w:val="Heading1"/>
      </w:pPr>
      <w:r>
        <w:t>12. Riscos e pendências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</w:tcPr>
          <w:p>
            <w:r>
              <w:rPr>
                <w:b/>
                <w:sz w:val="19"/>
              </w:rPr>
              <w:t>Risco / pendência</w:t>
            </w:r>
          </w:p>
        </w:tc>
        <w:tc>
          <w:tcPr>
            <w:tcW w:type="dxa" w:w="5272"/>
          </w:tcPr>
          <w:p>
            <w:r>
              <w:rPr>
                <w:b/>
                <w:sz w:val="19"/>
              </w:rPr>
              <w:t>Mitigação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Normas do site incompletas (orientação/arquivo do pôster, citação)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Escrever para contato@sipes.com.br pedindo o modelo oficial e a especificação do e-pôster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"Ineditismo": o Farol-SS foi submetido ao Concurso da CGU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Concurso não é evento científico com anais; ainda assim, declarar no formulário e, se houver dúvida, consultar o comitê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Resumo estourar 2.500 caracteres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Ter a versão curta pronta (seção 7)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Aderência temática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Enquadrar em "inovação tecnológica em saúde"; reforçar o elo com vigilância e determinantes (saneamento) — eixos do evento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Dados do painel podem ser atualizados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Congelar a versão citada (commit e data) e informar no texto/pôster</w:t>
            </w:r>
          </w:p>
        </w:tc>
      </w:tr>
    </w:tbl>
    <w:p/>
    <w:p/>
    <w:p>
      <w:pPr>
        <w:jc w:val="center"/>
      </w:pPr>
      <w:r>
        <w:rPr>
          <w:b w:val="0"/>
          <w:i w:val="0"/>
          <w:color w:val="545C6B"/>
          <w:sz w:val="16"/>
        </w:rPr>
        <w:t>Documento gerado a partir do estado do projeto Farol-SS em 30/08/2026. Regenerar com docs/sipes-2026/_build_projeto.py.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230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230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0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