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 w:line="269" w:lineRule="auto"/>
        <w:jc w:val="center"/>
      </w:pPr>
      <w:r>
        <w:rPr>
          <w:rFonts w:ascii="Calibri" w:hAnsi="Calibri"/>
          <w:b w:val="0"/>
          <w:i/>
          <w:color w:val="535C6B"/>
          <w:sz w:val="14"/>
        </w:rPr>
        <w:t xml:space="preserve">Versão final do pôster · escala 1:3 (final 90 × 120 cm, retrato, 300 dpi) · citações em </w:t>
      </w:r>
      <w:r>
        <w:rPr>
          <w:rFonts w:ascii="Calibri" w:hAnsi="Calibri"/>
          <w:b/>
          <w:i/>
          <w:color w:val="0D4585"/>
          <w:sz w:val="14"/>
        </w:rPr>
        <w:t>azul</w:t>
      </w:r>
      <w:r>
        <w:rPr>
          <w:rFonts w:ascii="Calibri" w:hAnsi="Calibri"/>
          <w:b w:val="0"/>
          <w:i/>
          <w:color w:val="535C6B"/>
          <w:sz w:val="14"/>
        </w:rPr>
        <w:t xml:space="preserve"> = da revisão (NBR 10520:2023) · logo do V SIPES obrigatória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10431"/>
      </w:tblGrid>
      <w:tr>
        <w:tc>
          <w:tcPr>
            <w:tcW w:type="dxa" w:w="7767"/>
            <w:shd w:val="clear" w:color="auto" w:fill="E8F4F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9774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pes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977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7"/>
            <w:shd w:val="clear" w:color="auto" w:fill="E8F4F8"/>
          </w:tcPr>
          <w:p/>
          <w:p>
            <w:pPr>
              <w:spacing w:after="40" w:before="0" w:line="269" w:lineRule="auto"/>
              <w:jc w:val="right"/>
            </w:pPr>
            <w:r>
              <w:rPr>
                <w:rFonts w:ascii="Calibri" w:hAnsi="Calibri"/>
                <w:b/>
                <w:i w:val="0"/>
                <w:color w:val="12303F"/>
                <w:sz w:val="21"/>
              </w:rPr>
              <w:t>V Simpósio Internacional de Pesquisa em Estilos de Vida &amp; Saúde</w:t>
            </w:r>
          </w:p>
          <w:p>
            <w:pPr>
              <w:spacing w:after="80" w:before="0" w:line="26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535C6B"/>
                <w:sz w:val="18"/>
              </w:rPr>
              <w:t>Recife-PE · 25 a 27 de novembro de 2026 · Modalidade: Pôster</w:t>
            </w:r>
          </w:p>
        </w:tc>
      </w:tr>
    </w:tbl>
    <w:p>
      <w:pPr>
        <w:spacing w:after="20" w:before="0" w:line="269" w:lineRule="auto"/>
      </w:pPr>
      <w:r>
        <w:rPr>
          <w:rFonts w:ascii="Calibri" w:hAnsi="Calibri"/>
          <w:b w:val="0"/>
          <w:i w:val="0"/>
          <w:color w:val="12303F"/>
          <w:sz w:val="18"/>
        </w:rPr>
      </w:r>
    </w:p>
    <w:p>
      <w:pPr>
        <w:spacing w:after="60" w:before="0" w:line="269" w:lineRule="auto"/>
        <w:jc w:val="center"/>
      </w:pPr>
      <w:r>
        <w:rPr>
          <w:rFonts w:ascii="Calibri" w:hAnsi="Calibri"/>
          <w:b/>
          <w:i w:val="0"/>
          <w:color w:val="12303F"/>
          <w:sz w:val="32"/>
        </w:rPr>
        <w:t>Farol da Saúde &amp; Saneamento: um índice territorial de efetividade da alocação sanitária construído com dados abertos para os 185 municípios de Pernambuco, 2020–2024</w:t>
      </w:r>
    </w:p>
    <w:p>
      <w:pPr>
        <w:spacing w:after="20" w:before="0" w:line="269" w:lineRule="auto"/>
        <w:jc w:val="center"/>
      </w:pPr>
      <w:r>
        <w:rPr>
          <w:rFonts w:ascii="Calibri" w:hAnsi="Calibri"/>
          <w:b w:val="0"/>
          <w:i w:val="0"/>
          <w:color w:val="12303F"/>
          <w:sz w:val="20"/>
        </w:rPr>
        <w:t>SOBRENOME, Nome¹; SOBRENOME, Nome²  [até 6 autores]</w:t>
      </w:r>
    </w:p>
    <w:p>
      <w:pPr>
        <w:spacing w:after="20" w:before="0" w:line="269" w:lineRule="auto"/>
        <w:jc w:val="center"/>
      </w:pPr>
      <w:r>
        <w:rPr>
          <w:rFonts w:ascii="Calibri" w:hAnsi="Calibri"/>
          <w:b w:val="0"/>
          <w:i w:val="0"/>
          <w:color w:val="535C6B"/>
          <w:sz w:val="16"/>
        </w:rPr>
        <w:t>¹Instituição, cidade/UF · ²Instituição · e-mail do autor apresentador</w:t>
      </w:r>
    </w:p>
    <w:p>
      <w:pPr>
        <w:spacing w:after="100" w:before="0" w:line="269" w:lineRule="auto"/>
        <w:jc w:val="center"/>
      </w:pPr>
      <w:r>
        <w:rPr>
          <w:rFonts w:ascii="Calibri" w:hAnsi="Calibri"/>
          <w:b/>
          <w:i w:val="0"/>
          <w:color w:val="535C6B"/>
          <w:sz w:val="17"/>
        </w:rPr>
        <w:t xml:space="preserve">Palavras-chave (DeCS): </w:t>
      </w:r>
      <w:r>
        <w:rPr>
          <w:rFonts w:ascii="Calibri" w:hAnsi="Calibri"/>
          <w:b w:val="0"/>
          <w:i w:val="0"/>
          <w:color w:val="535C6B"/>
          <w:sz w:val="17"/>
        </w:rPr>
        <w:t>Saneamento; Alocação de Recursos; Gastos em Saúde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10"/>
        <w:gridCol w:w="7710"/>
      </w:tblGrid>
      <w:tr>
        <w:tc>
          <w:tcPr>
            <w:tcW w:type="dxa" w:w="7767"/>
          </w:tcPr>
          <w:p/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  INTRODUÇÃO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A alocação de recursos públicos em saúde e a carga de doença não se distribuem de forma equivalente no território brasileiro; a alocação no SUS é descrita como subótima e como origem de disparidades regionais de acesso e de desfechos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(MASSUDA et al., 2018)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. Apesar das exigências legais de universalidade e equidade, essa alocação segue, em regra, o comportamento histórico pautado na produção de serviços, e não nas necessidades da população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(MENDES et al., 2011)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; os critérios legais de partilha, pensados para reduzir a desigualdade regional, ainda não foram efetivamente implementados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(CARVALHO, 2021)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, e o teto de gastos comprime o recurso por habitante ao longo do tempo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(FUNCIA, 2019)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. O déficit de saneamento, por sua vez, tem efeito mensurável: cerca de 16% das internações por doenças de veiculação hídrica no país seriam evitáveis com esgotamento adequado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(PAIVA; SOUZA, 2018)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 — ainda que a magnitude atribuível ao saneamento seja menor do que o senso comum sugere e exija rigor na definição do indicador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(BARCELLOS, 2005)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. Os portais de transparência informam quanto se gasta, mas não permitem avaliar se o gasto acompanha a necessidade de cada município.</w:t>
            </w:r>
          </w:p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  OBJETIVOS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Desenvolver e disponibilizar o Farol da Saúde &amp; Saneamento (Farol-SS), monitor territorial de código aberto que quantifica o alinhamento entre necessidade sanitária e alocação de recursos nos 185 municípios de Pernambuco (2020–2024), e descrever o Índice de Efetividade da Alocação Sanitária (IEAS) e os alertas dele derivados.</w:t>
            </w:r>
          </w:p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  METODOLOGIA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Estudo ecológico de base documental, com dados secundários de acesso aberto. Um pipeline reprodutível (camadas bronze–silver–gold; DuckDB sobre arquivos Parquet; proveniência com SHA-256) integrou oito fontes federais num grão único de município × ano (grade 185 × 5) — mesmo princípio de reúso e cruzamento de bases que revela lacunas invisíveis a uma fonte isolada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(SILVA; LEITE; ALMEIDA, 2009)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/>
                <w:i w:val="0"/>
                <w:color w:val="12303F"/>
                <w:sz w:val="18"/>
              </w:rPr>
              <w:t xml:space="preserve">Fórmula. 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O IEAS compara dois eixos. Cada eixo é a média ponderada de seus subíndices, com pesos fixados em arquivo de configuração versionado — Necessidade: epidemiológico 0,40; saneamento 0,35; vulnerabilidade 0,25; Alocação: repasse federal 0,35; execução própria 0,40; contratação de insumos 0,25, em R$/hab deflacionados pelo IPCA. Cada média é convertida em ranque percentil ∈ [0, 1] entre os 185 municípios: N_m é a posição relativa da necessidade e A_m a da alocação. O índice é gap_m = A_m − N_m ∈ [−1, 1] (gap ≤ −0,33 = necessidade não atendida), e ieas_m = 1 − |gap_m|, usado apenas para ordenar.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/>
                <w:i w:val="0"/>
                <w:color w:val="12303F"/>
                <w:sz w:val="18"/>
              </w:rPr>
              <w:t xml:space="preserve">Escolhas estatísticas. 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Índices sintéticos de condições de vida para municípios brasileiros costumam padronizar por escore-z e agrupar por análise de conglomerados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(LUIZ et al., 2009)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, ou compor um índice de necessidades por análise de componentes principais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(MENDES et al., 2011)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. O Farol-SS usa o ranque percentil: limitado a [0, 1] e independente de distribuição, não pressupõe normalidade e impede que um valor extremo de um município pequeno distorça a escala dos demais; e uma média ponderada explícita, que troca parcimônia estatística por transparência e reprodutibilidade. Componente ausente numa linha tem o peso redistribuído entre os presentes; abaixo de 60% (Necessidade) ou 50% (Alocação) de componentes presentes o índice não é publicado — a completitude dos sistemas de informação em saúde é heterogênea e sem método padronizado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(CORREIA; PADILHA; VASCONCELOS, 2014; LIMA et al., 2009)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/>
                <w:i w:val="0"/>
                <w:color w:val="12303F"/>
                <w:sz w:val="18"/>
              </w:rPr>
              <w:t xml:space="preserve">Detectores. 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Quatro rotinas geram alertas explicáveis: (i) todo farol vermelho; (ii) resíduo de uma regressão anual necessidade→alocação padronizado por 1,4826·MAD (desvio absoluto mediano), resistente aos próprios outliers que se quer detectar; (iii) preço unitário de insumo acima de Q3 + 1,5·IQR da mesma categoria, unidade e dose no estado (cerca de Tukey); (iv) incidência de agravo no percentil 75+ do estado sem contratação do insumo correspondente. O SIOPS fornece a despesa própria per capita — que varia em ordem de grandeza entre municípios vizinhos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(SANTOS NETO et al., 2017)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 —; o PNCP fornece o preço unitário, num campo em que o poder de compra do Estado é decisivo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(CHAVES; OSORIO-DE-CASTRO; OLIVEIRA, 2017)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.</w:t>
            </w:r>
          </w:p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415508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rama-iea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4155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5"/>
              </w:rPr>
              <w:t>Figura 1 – Construção do IEAS. Fonte: os autores (2026).</w:t>
            </w:r>
          </w:p>
        </w:tc>
        <w:tc>
          <w:tcPr>
            <w:tcW w:type="dxa" w:w="7767"/>
          </w:tcPr>
          <w:p/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  RESULTADOS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O IEAS foi calculado para 921 dos 925 município-anos (185 de 185 em 2024). A distribuição do semáforo mostra 383 município-anos alinhados, 202 em necessidade não atendida, 176 com alocação acima da necessidade e 160 com subalocação leve (Figura 2).</w:t>
            </w:r>
          </w:p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4000" cy="220357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farol_d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2035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5"/>
              </w:rPr>
              <w:t>Figura 2 – Distribuição do farol, PE, 2020–2024. Fonte: Farol-SS (2026).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A leitura muda ao longo do período: 2020–2022 concentram os municípios em necessidade não atendida e 2023–2024 pendem para verde e azul (Figura 3) — virada em parte real (repasse e execução crescem) e em parte sensível ao peso da camada de repasse federal (proxy).</w:t>
            </w:r>
          </w:p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4000" cy="268820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farol_an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6882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5"/>
              </w:rPr>
              <w:t>Figura 3 – Farol por ano. Fonte: Farol-SS (2026).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Em 2024, a maior parte dos municípios está sobre ou acima da diagonal necessidade = alocação; os pontos abaixo dela são os faróis amarelo e vermelho (Figura 4).</w:t>
            </w:r>
          </w:p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6000" cy="34451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scatter_202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34451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5"/>
              </w:rPr>
              <w:t>Figura 4 – Necessidade × alocação (ranque percentil), PE, 2024. Fonte: Farol-SS (2026).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Foram emitidos 777 alertas explicáveis; 570 de suspeita de desabastecimento de insumos, concentrados nos anos de surto de arbovirose (Figura 5) — padrão coerente com a sensibilidade da carga de diarreia a fatores ambientais e climáticos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(DUARTE et al., 2019)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.</w:t>
            </w:r>
          </w:p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4000" cy="214508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desabastecimen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1450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5"/>
              </w:rPr>
              <w:t>Figura 5 – Alertas de desabastecimento por ano. Fonte: Farol-SS (2026).</w:t>
            </w:r>
          </w:p>
          <w:p>
            <w:pPr>
              <w:spacing w:after="40" w:before="80" w:line="269" w:lineRule="auto"/>
            </w:pPr>
            <w:r>
              <w:rPr>
                <w:rFonts w:ascii="Calibri" w:hAnsi="Calibri"/>
                <w:b/>
                <w:i w:val="0"/>
                <w:color w:val="12303F"/>
                <w:sz w:val="17"/>
              </w:rPr>
              <w:t>Tabela 1 – Síntese dos resultados (2020–2024)</w:t>
            </w:r>
          </w:p>
          <w:tbl>
            <w:tblPr>
              <w:tblStyle w:val="LightGrid-Accent1"/>
              <w:tblW w:type="auto" w:w="0"/>
              <w:tblLook w:firstColumn="1" w:firstRow="1" w:lastColumn="0" w:lastRow="0" w:noHBand="0" w:noVBand="1" w:val="04A0"/>
            </w:tblPr>
            <w:tblGrid>
              <w:gridCol w:w="3883"/>
              <w:gridCol w:w="3883"/>
            </w:tblGrid>
            <w:tr>
              <w:tc>
                <w:tcPr>
                  <w:tcW w:type="dxa" w:w="2608"/>
                </w:tcPr>
                <w:p>
                  <w:r>
                    <w:rPr>
                      <w:b/>
                      <w:sz w:val="16"/>
                    </w:rPr>
                    <w:t>Município-anos com IEAS calculado</w:t>
                  </w:r>
                </w:p>
              </w:tc>
              <w:tc>
                <w:tcPr>
                  <w:tcW w:type="dxa" w:w="4989"/>
                </w:tcPr>
                <w:p>
                  <w:r>
                    <w:rPr>
                      <w:sz w:val="16"/>
                    </w:rPr>
                    <w:t>921 de 925 (185/185 em 2024)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r>
                    <w:rPr>
                      <w:b/>
                      <w:sz w:val="16"/>
                    </w:rPr>
                    <w:t>Farol — total (todos os anos)</w:t>
                  </w:r>
                </w:p>
              </w:tc>
              <w:tc>
                <w:tcPr>
                  <w:tcW w:type="dxa" w:w="4989"/>
                </w:tcPr>
                <w:p>
                  <w:r>
                    <w:rPr>
                      <w:sz w:val="16"/>
                    </w:rPr>
                    <w:t>383 verde · 202 vermelho · 176 azul · 160 amarelo · 4 cinza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r>
                    <w:rPr>
                      <w:b/>
                      <w:sz w:val="16"/>
                    </w:rPr>
                    <w:t>Farol — 2024</w:t>
                  </w:r>
                </w:p>
              </w:tc>
              <w:tc>
                <w:tcPr>
                  <w:tcW w:type="dxa" w:w="4989"/>
                </w:tcPr>
                <w:p>
                  <w:r>
                    <w:rPr>
                      <w:sz w:val="16"/>
                    </w:rPr>
                    <w:t>104 verde · 60 azul · 19 amarelo · 2 vermelho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r>
                    <w:rPr>
                      <w:b/>
                      <w:sz w:val="16"/>
                    </w:rPr>
                    <w:t>Alertas emitidos</w:t>
                  </w:r>
                </w:p>
              </w:tc>
              <w:tc>
                <w:tcPr>
                  <w:tcW w:type="dxa" w:w="4989"/>
                </w:tcPr>
                <w:p>
                  <w:r>
                    <w:rPr>
                      <w:sz w:val="16"/>
                    </w:rPr>
                    <w:t>777 (570 desabastecimento · 202 desalinhamento · 4 resíduo · 1 sobrepreço)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r>
                    <w:rPr>
                      <w:b/>
                      <w:sz w:val="16"/>
                    </w:rPr>
                    <w:t>Cobertura mediana de saneamento (Censo 2022)</w:t>
                  </w:r>
                </w:p>
              </w:tc>
              <w:tc>
                <w:tcPr>
                  <w:tcW w:type="dxa" w:w="4989"/>
                </w:tcPr>
                <w:p>
                  <w:r>
                    <w:rPr>
                      <w:sz w:val="16"/>
                    </w:rPr>
                    <w:t>água 64% · esgoto 48% · coleta de lixo 74%</w:t>
                  </w:r>
                </w:p>
              </w:tc>
            </w:tr>
          </w:tbl>
          <w:p/>
          <w:p>
            <w:pPr>
              <w:spacing w:after="60" w:before="0" w:line="269" w:lineRule="auto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</w:r>
          </w:p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  CONCLUSÃO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É viável, a partir exclusivamente de dados abertos, produzir um instrumento reprodutível e explicável de monitoramento territorial — resposta à necessidade reconhecida de acompanhar as desigualdades em saúde por região e grupo social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(VIACAVA et al., 2019)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 sem novo inquérito. O índice atua no plano da dotação de recursos frente à necessidade, um dos planos da equidade no financiamento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(COHN, 2005)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, e funciona como ferramenta de transparência e controle social sobre um direito — o saneamento — que condiciona a saúde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(NEVES-SILVA; HELLER, 2016)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. Como a eficiência do gasto municipal não acompanha a riqueza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(RODRIGUES et al., 2021)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, olhar necessidade × alocação, e não valores absolutos, é o recorte mais informativo. Limitações: a camada de repasse federal é um proxy; o saneamento é um retrato de 2022; a adesão ao PNCP cresce ano a ano.</w:t>
            </w:r>
          </w:p>
        </w:tc>
      </w:tr>
    </w:tbl>
    <w:p>
      <w:pPr>
        <w:spacing w:after="40" w:before="0" w:line="269" w:lineRule="auto"/>
      </w:pPr>
      <w:r>
        <w:rPr>
          <w:rFonts w:ascii="Calibri" w:hAnsi="Calibri"/>
          <w:b w:val="0"/>
          <w:i w:val="0"/>
          <w:color w:val="12303F"/>
          <w:sz w:val="1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679"/>
        <w:gridCol w:w="3742"/>
      </w:tblGrid>
      <w:tr>
        <w:tc>
          <w:tcPr>
            <w:tcW w:type="dxa" w:w="7767"/>
            <w:shd w:val="clear" w:color="auto" w:fill="E8F4F8"/>
          </w:tcPr>
          <w:p/>
          <w:p>
            <w:pPr>
              <w:spacing w:after="40" w:before="0" w:line="269" w:lineRule="auto"/>
            </w:pPr>
            <w:r>
              <w:rPr>
                <w:rFonts w:ascii="Calibri" w:hAnsi="Calibri"/>
                <w:b/>
                <w:i w:val="0"/>
                <w:color w:val="12303F"/>
                <w:sz w:val="16"/>
              </w:rPr>
              <w:t>REFERÊNCIAS (ABNT NBR 6023:2018)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BARCELLOS, C. A lenda urbana sobre internações devidas à falta de saneamento. Cadernos de Saúde Pública, v. 21, n. 4, p. 996-997, 2005. DOI: https://doi.org/10.1590/s0102-311x2005000400001.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CARVALHO, G. d. P. Desigualdades regionais e o papel dos recursos federais no SUS: fatores políticos condicionam a alocação de recursos?. Ciência &amp; Saúde Coletiva, v. 26, n. suppl 2, p. 3409-3421, 2021. DOI: https://doi.org/10.1590/1413-81232021269.2.31192019.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CHAVES, G. C.; OSORIO-DE-CASTRO, C. G. S.; OLIVEIRA, M. A. Compras públicas de medicamentos para hepatite C no Brasil no período de 2005 a 2015. Ciência &amp; Saúde Coletiva, v. 22, n. 8, p. 2527-2538, 2017. DOI: https://doi.org/10.1590/1413-81232017228.05602017.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COHN, A. Eqüidade, saúde e critérios para alocação de recursos. Ciência &amp; Saúde Coletiva, v. 10, n. 2, p. 287-288, 2005. DOI: https://doi.org/10.1590/s1413-81232005000200003.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CORREIA, L. O. d. S.; PADILHA, B. M.; VASCONCELOS, S. M. L. Métodos para avaliar a completitude dos dados dos sistemas de informação em saúde do Brasil: uma revisão sistemática. Ciência &amp; Saúde Coletiva, v. 19, n. 11, p. 4467-4478, 2014. DOI: https://doi.org/10.1590/1413-812320141911.02822013.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DUARTE, J. L. et al. Variabilidade climática e internações por doenças diarreicas infecciosas em um município da Amazônia Ocidental brasileira. Ciência &amp; Saúde Coletiva, v. 24, n. 8, p. 2959-2970, 2019. DOI: https://doi.org/10.1590/1413-81232018248.21232017.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FUNCIA, F. R. Subfinanciamento e orçamento federal do SUS: referências preliminares para a alocação adicional de recursos. Ciência &amp; Saúde Coletiva, v. 24, n. 12, p. 4405-4415, 2019. DOI: https://doi.org/10.1590/1413-812320182412.25892019.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LIMA, C. R. d. A. et al. Revisão das dimensões de qualidade dos dados e métodos aplicados na avaliação dos sistemas de informação em saúde. Cadernos de Saúde Pública, v. 25, n. 10, p. 2095-2109, 2009. DOI: https://doi.org/10.1590/s0102-311x2009001000002.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LUIZ, O. d. C. et al. Diferenciais intermunicipais de condições de vida e saúde: construção de um indicador composto. Revista de Saúde Pública, v. 43, n. 1, p. 115-122, 2009. DOI: https://doi.org/10.1590/s0034-89102009000100015.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MASSUDA, A. et al. The Brazilian health system at crossroads: progress, crisis and resilience. BMJ Global Health, v. 3, n. 4, p. e000829, 2018. DOI: https://doi.org/10.1136/bmjgh-2018-000829.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MENDES, Á.; LEITE, M. G.; MARQUES, R. M. Discutindo uma Metodologia para a Alocação Equitativa de Recursos Federais para o Sistema Único de Saúde. Saúde e Sociedade, v. 20, n. 3, p. 673-690, 2011. DOI: https://doi.org/10.1590/s0104-12902011000300013.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NEVES-SILVA, P.; HELLER, L. O direito humano à água e ao esgotamento sanitário como instrumento para promoção da saúde de populações vulneráveis. Ciência &amp; Saúde Coletiva, v. 21, n. 6, p. 1861-1870, 2016. DOI: https://doi.org/10.1590/1413-81232015216.03422016.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PAIVA, R. F. d. P. d. S.; SOUZA, M. F. d. P. d. Associação entre condições socioeconômicas, sanitárias e de atenção básica e a morbidade hospitalar por doenças de veiculação hídrica no Brasil. Cadernos de Saúde Pública, v. 34, n. 1, 2018. DOI: https://doi.org/10.1590/0102-311x00017316.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RODRIGUES, A. d. C.; GONTIJO, T. S.; GONÇALVES, C. A. Eficiência do gasto público em atenção primária em saúde nos municípios do Rio de Janeiro, Brasil: escores robustos e seus determinantes. Ciência &amp; Saúde Coletiva, v. 26, n. suppl 2, p. 3567-3579, 2021. DOI: https://doi.org/10.1590/1413-81232021269.2.04342020.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SANTOS NETO, J. A. d. et al. Análise do financiamento e gasto do Sistema Único de Saúde dos municípios da região de saúde Rota dos Bandeirantes do estado de São Paulo, Brasil. Ciência &amp; Saúde Coletiva, v. 22, n. 4, p. 1269-1280, 2017. DOI: https://doi.org/10.1590/1413-81232017224.28452016.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SILVA, C. F. d.; LEITE, Á. J. M.; ALMEIDA, N. M. G. S. d. Linkage entre bancos de dados de nascidos vivos e óbitos infantis em município do Nordeste do Brasil: qualidade dos sistemas de informação. Cadernos de Saúde Pública, v. 25, n. 7, p. 1552-1558, 2009. DOI: https://doi.org/10.1590/s0102-311x2009000700013.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VIACAVA, F. et al. Desigualdades regionais e sociais em saúde segundo inquéritos domiciliares (Brasil, 1998-2013). Ciência &amp; Saúde Coletiva, v. 24, n. 7, p. 2745-2760, 2019. DOI: https://doi.org/10.1590/1413-81232018247.15812017. Acesso em: [DATA].</w:t>
            </w:r>
          </w:p>
        </w:tc>
        <w:tc>
          <w:tcPr>
            <w:tcW w:type="dxa" w:w="7767"/>
            <w:shd w:val="clear" w:color="auto" w:fill="E8F4F8"/>
          </w:tcPr>
          <w:p/>
          <w:p>
            <w:pPr>
              <w:spacing w:after="2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2303F"/>
                <w:sz w:val="15"/>
              </w:rPr>
              <w:t>Painel: farol-ss.streamlit.app</w:t>
            </w:r>
          </w:p>
          <w:p>
            <w:pPr>
              <w:spacing w:after="20" w:before="0" w:line="269" w:lineRule="auto"/>
              <w:jc w:val="center"/>
            </w:pPr>
            <w:r>
              <w:rPr>
                <w:rFonts w:ascii="Calibri" w:hAnsi="Calibri"/>
                <w:b w:val="0"/>
                <w:i/>
                <w:color w:val="9AA3B0"/>
                <w:sz w:val="15"/>
              </w:rPr>
              <w:t>[ QR do painel ]</w:t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3"/>
              </w:rPr>
              <w:t>Código e dados: github.com/protazoarium/farol-ss</w:t>
            </w:r>
          </w:p>
        </w:tc>
      </w:tr>
    </w:tbl>
    <w:p>
      <w:pPr>
        <w:spacing w:after="80" w:before="60" w:line="269" w:lineRule="auto"/>
        <w:jc w:val="center"/>
      </w:pPr>
      <w:r>
        <w:rPr>
          <w:rFonts w:ascii="Calibri" w:hAnsi="Calibri"/>
          <w:b w:val="0"/>
          <w:i w:val="0"/>
          <w:color w:val="535C6B"/>
          <w:sz w:val="14"/>
        </w:rPr>
        <w:t>V SIPES 2026 · Recife-PE · Dados sob domínio público das fontes federais (IBGE, DATASUS, PNCP, CGU, MDS).</w:t>
      </w:r>
    </w:p>
    <w:sectPr w:rsidR="00FC693F" w:rsidRPr="0006063C" w:rsidSect="00034616">
      <w:pgSz w:w="17008" w:h="22677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