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Author"/>
      </w:pPr>
      <w:r>
        <w:t xml:space="preserve">Concebido</w:t>
      </w:r>
      <w:r>
        <w:t xml:space="preserve"> </w:t>
      </w:r>
      <w:r>
        <w:t xml:space="preserve">e</w:t>
      </w:r>
      <w:r>
        <w:t xml:space="preserve"> </w:t>
      </w:r>
      <w:r>
        <w:t xml:space="preserve">implementado</w:t>
      </w:r>
      <w:r>
        <w:t xml:space="preserve"> </w:t>
      </w:r>
      <w:r>
        <w:t xml:space="preserve">com</w:t>
      </w:r>
      <w:r>
        <w:t xml:space="preserve"> </w:t>
      </w:r>
      <w:r>
        <w:t xml:space="preserve">Claude</w:t>
      </w:r>
      <w:r>
        <w:t xml:space="preserve"> </w:t>
      </w:r>
      <w:r>
        <w:t xml:space="preserve">(Anthropic)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resultados:</w:t>
      </w:r>
      <w:r>
        <w:t xml:space="preserve"> </w:t>
      </w:r>
      <w:r>
        <w:t xml:space="preserve">cinco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índice,</w:t>
      </w:r>
      <w:r>
        <w:t xml:space="preserve"> </w:t>
      </w:r>
      <w:r>
        <w:t xml:space="preserve">que</w:t>
      </w:r>
      <w:r>
        <w:t xml:space="preserve"> </w:t>
      </w:r>
      <w:r>
        <w:t xml:space="preserve">é</w:t>
      </w:r>
      <w:r>
        <w:t xml:space="preserve"> </w:t>
      </w:r>
      <w:r>
        <w:t xml:space="preserve">calculado</w:t>
      </w:r>
      <w:r>
        <w:t xml:space="preserve"> </w:t>
      </w:r>
      <w:r>
        <w:t xml:space="preserve">para</w:t>
      </w:r>
      <w:r>
        <w:t xml:space="preserve"> </w:t>
      </w:r>
      <w:r>
        <w:t xml:space="preserve">335</w:t>
      </w:r>
      <w:r>
        <w:t xml:space="preserve"> </w:t>
      </w:r>
      <w:r>
        <w:t xml:space="preserve">dos</w:t>
      </w:r>
      <w:r>
        <w:t xml:space="preserve"> </w:t>
      </w:r>
      <w:r>
        <w:t xml:space="preserve">925</w:t>
      </w:r>
      <w:r>
        <w:t xml:space="preserve"> </w:t>
      </w:r>
      <w:r>
        <w:t xml:space="preserve">município-anos.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(raspagem</w:t>
      </w:r>
      <w:r>
        <w:t xml:space="preserve"> </w:t>
      </w:r>
      <w:r>
        <w:t xml:space="preserve">do</w:t>
      </w:r>
      <w:r>
        <w:t xml:space="preserve"> </w:t>
      </w:r>
      <w:r>
        <w:t xml:space="preserve">TabNet</w:t>
      </w:r>
      <w:r>
        <w:t xml:space="preserve"> </w:t>
      </w:r>
      <w:r>
        <w:t xml:space="preserve">legado</w:t>
      </w:r>
      <w:r>
        <w:t xml:space="preserve"> </w:t>
      </w:r>
      <w:r>
        <w:t xml:space="preserve">do</w:t>
      </w:r>
      <w:r>
        <w:t xml:space="preserve"> </w:t>
      </w:r>
      <w:r>
        <w:t xml:space="preserve">SIOPS,</w:t>
      </w:r>
      <w:r>
        <w:t xml:space="preserve"> </w:t>
      </w:r>
      <w:r>
        <w:t xml:space="preserve">índice</w:t>
      </w:r>
      <w:r>
        <w:t xml:space="preserve"> </w:t>
      </w:r>
      <w:r>
        <w:t xml:space="preserve">Solr</w:t>
      </w:r>
      <w:r>
        <w:t xml:space="preserve"> </w:t>
      </w:r>
      <w:r>
        <w:t xml:space="preserve">do</w:t>
      </w:r>
      <w:r>
        <w:t xml:space="preserve"> </w:t>
      </w:r>
      <w:r>
        <w:t xml:space="preserve">SAGI</w:t>
      </w:r>
      <w:r>
        <w:t xml:space="preserve"> </w:t>
      </w:r>
      <w:r>
        <w:t xml:space="preserve">para</w:t>
      </w:r>
      <w:r>
        <w:t xml:space="preserve"> </w:t>
      </w:r>
      <w:r>
        <w:t xml:space="preserve">o</w:t>
      </w:r>
      <w:r>
        <w:t xml:space="preserve"> </w:t>
      </w:r>
      <w:r>
        <w:t xml:space="preserve">CadÚnico,</w:t>
      </w:r>
      <w:r>
        <w:t xml:space="preserve"> </w:t>
      </w:r>
      <w:r>
        <w:t xml:space="preserve">recurso</w:t>
      </w:r>
      <w:r>
        <w:t xml:space="preserve"> </w:t>
      </w:r>
      <w:r>
        <w:t xml:space="preserve">de</w:t>
      </w:r>
      <w:r>
        <w:t xml:space="preserve"> </w:t>
      </w:r>
      <w:r>
        <w:t xml:space="preserve">item</w:t>
      </w:r>
      <w:r>
        <w:t xml:space="preserve"> </w:t>
      </w:r>
      <w:r>
        <w:t xml:space="preserve">do</w:t>
      </w:r>
      <w:r>
        <w:t xml:space="preserve"> </w:t>
      </w:r>
      <w:r>
        <w:t xml:space="preserve">PNCP</w:t>
      </w:r>
      <w:r>
        <w:t xml:space="preserve"> </w:t>
      </w:r>
      <w:r>
        <w:t xml:space="preserve">para</w:t>
      </w:r>
      <w:r>
        <w:t xml:space="preserve"> </w:t>
      </w:r>
      <w:r>
        <w:t xml:space="preserve">preço</w:t>
      </w:r>
      <w:r>
        <w:t xml:space="preserve"> </w:t>
      </w:r>
      <w:r>
        <w:t xml:space="preserve">unitário)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370f2437d0fa5f18c41dd3cb196b8a9ca97250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0"/>
    <w:bookmarkStart w:id="22" w:name="Xd7b285ca6714cc9d1e5b5f66a23f6c1e8b875e0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(172/185; itens com preço unitário para ~880 contratos de saúde)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/ SIASG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L3 federal 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endpoint validado, módulo não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sistema encerrado em 2023 (sucessor: SINISA); domínio da série histórica não resolve. Substituir pelo Censo 2022 do IBGE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endpoint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retorna HTTP 403 (exige nível de acesso gov.br elevado)</w:t>
            </w:r>
          </w:p>
        </w:tc>
      </w:tr>
    </w:tbl>
    <w:bookmarkStart w:id="21" w:name="X302854224e8d7c87f91c8105c82df8212c5411b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fdb667ee3262de811bf59dc57b8ce71580d1bac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3" w:name="Xb1cd325e666029ef18f9cb81a53c1c68601fa4d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("Lagoa de Itaenga" vs "Lagoa do Itaenga",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3"/>
    <w:bookmarkStart w:id="24" w:name="X435444dd407e9526f56d6e04eeca862c5959654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 "Tabela de conversao nao</w:t>
      </w:r>
      <w:r>
        <w:t xml:space="preserve"> </w:t>
      </w:r>
      <w:r>
        <w:t xml:space="preserve">encontrada"),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4"/>
    <w:bookmarkStart w:id="25" w:name="Xfecccf105a4bea5461329f5e7efa3a7a7202c52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5"/>
    <w:bookmarkStart w:id="26" w:name="Xeabc3246297b70845315de8544bbc37695f396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 L3</w:t>
      </w:r>
      <w:r>
        <w:t xml:space="preserve"> </w:t>
      </w:r>
      <w:r>
        <w:t xml:space="preserve">(PNCP) e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(SIOPS) →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t xml:space="preserve">ambos</w:t>
      </w:r>
      <w:r>
        <w:t xml:space="preserve"> </w:t>
      </w:r>
      <w:r>
        <w:rPr>
          <w:bCs/>
          <w:b/>
        </w:rPr>
        <w:t xml:space="preserve">deflacionados para 2024</w:t>
      </w:r>
      <w:r>
        <w:t xml:space="preserve"> </w:t>
      </w:r>
      <w:r>
        <w:t xml:space="preserve">pela média anual do IPCA. A camada L1</w:t>
      </w:r>
      <w:r>
        <w:t xml:space="preserve"> </w:t>
      </w:r>
      <w:r>
        <w:t xml:space="preserve">(Portal da Transparência) entra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f6c71d45f73f111bc287f31fc70a82860e4bcfb"/>
    <w:p>
      <w:pPr>
        <w:pStyle w:val="Heading1"/>
      </w:pPr>
      <w:r>
        <w:t xml:space="preserve">4. Metodologia do IEAS</w:t>
      </w:r>
    </w:p>
    <w:bookmarkStart w:id="28" w:name="Xc181fafdce6534f3f90aa78e935db3d608dda16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= 1 − cobertura)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(substituir por Censo 2022 IBGE)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epidemiológico é, ele próprio, uma combinação ponderada:</w:t>
      </w:r>
      <w:r>
        <w:t xml:space="preserve"> </w:t>
      </w:r>
      <w:r>
        <w:rPr>
          <w:bCs/>
          <w:b/>
        </w:rPr>
        <w:t xml:space="preserve">arboviroses 53%</w:t>
      </w:r>
      <w:r>
        <w:t xml:space="preserve"> </w:t>
      </w:r>
      <w:r>
        <w:t xml:space="preserve">(dengue + chikungunya + zika) +</w:t>
      </w:r>
      <w:r>
        <w:t xml:space="preserve"> </w:t>
      </w:r>
      <w:r>
        <w:rPr>
          <w:bCs/>
          <w:b/>
        </w:rPr>
        <w:t xml:space="preserve">veiculação hídrica 47%</w:t>
      </w:r>
      <w:r>
        <w:t xml:space="preserve"> </w:t>
      </w:r>
      <w:r>
        <w:t xml:space="preserve">(leptospirose + hepatite A + esquistossomose). O peso originalmente previsto</w:t>
      </w:r>
      <w:r>
        <w:t xml:space="preserve"> </w:t>
      </w:r>
      <w:r>
        <w:t xml:space="preserve">para internações hospitalares (SIH) foi redistribuído proporcionalmente: nenhum</w:t>
      </w:r>
      <w:r>
        <w:t xml:space="preserve"> </w:t>
      </w:r>
      <w:r>
        <w:t xml:space="preserve">grupo utilizável do SIH nesta versão do PySUS traz simultaneamente município de</w:t>
      </w:r>
      <w:r>
        <w:t xml:space="preserve"> </w:t>
      </w:r>
      <w:r>
        <w:t xml:space="preserve">residência e diagnóstico principal.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+ 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(PNCP)</w:t>
            </w:r>
          </w:p>
        </w:tc>
      </w:tr>
    </w:tbl>
    <w:bookmarkEnd w:id="28"/>
    <w:bookmarkStart w:id="29" w:name="X819845d35b0211db51199b000990ca53981f123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29"/>
    <w:bookmarkStart w:id="30" w:name="X8b58ee24bb365d81bd07271a1205a31a31367b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Hoje: Necessidade tem</w:t>
      </w:r>
      <w:r>
        <w:t xml:space="preserve"> </w:t>
      </w:r>
      <w:r>
        <w:rPr>
          <w:bCs/>
          <w:b/>
        </w:rPr>
        <w:t xml:space="preserve">2 de 3</w:t>
      </w:r>
      <w:r>
        <w:t xml:space="preserve"> </w:t>
      </w:r>
      <w:r>
        <w:t xml:space="preserve">subíndices (epidemiológico + vulnerabilidade,</w:t>
      </w:r>
      <w:r>
        <w:t xml:space="preserve"> </w:t>
      </w:r>
      <w:r>
        <w:t xml:space="preserve">67%) e Alocação tem</w:t>
      </w:r>
      <w:r>
        <w:t xml:space="preserve"> </w:t>
      </w:r>
      <w:r>
        <w:rPr>
          <w:bCs/>
          <w:b/>
        </w:rPr>
        <w:t xml:space="preserve">2 de 3</w:t>
      </w:r>
      <w:r>
        <w:t xml:space="preserve"> </w:t>
      </w:r>
      <w:r>
        <w:t xml:space="preserve">camadas (L2 + L3, 67% — mas só onde há PNCP no</w:t>
      </w:r>
      <w:r>
        <w:t xml:space="preserve"> </w:t>
      </w:r>
      <w:r>
        <w:t xml:space="preserve">ano). Os dois eixos passam o limiar para</w:t>
      </w:r>
      <w:r>
        <w:t xml:space="preserve"> </w:t>
      </w:r>
      <w:r>
        <w:rPr>
          <w:bCs/>
          <w:b/>
        </w:rPr>
        <w:t xml:space="preserve">335 dos 925 município-anos</w:t>
      </w:r>
      <w:r>
        <w:t xml:space="preserve"> </w:t>
      </w:r>
      <w:r>
        <w:t xml:space="preserve">(156 dos</w:t>
      </w:r>
      <w:r>
        <w:t xml:space="preserve"> </w:t>
      </w:r>
      <w:r>
        <w:t xml:space="preserve">185 municípios em 2024). Os 590 município-anos cinza são, na maioria, os que não</w:t>
      </w:r>
      <w:r>
        <w:t xml:space="preserve"> </w:t>
      </w:r>
      <w:r>
        <w:t xml:space="preserve">têm contratação publicada no PNCP naquele ano — a cobertura da camada L3 sobe de</w:t>
      </w:r>
      <w:r>
        <w:t xml:space="preserve"> </w:t>
      </w:r>
      <w:r>
        <w:t xml:space="preserve">6 municípios em 2021 para 157 em 2024, então 2020–2021 saem quase inteiros cinza.</w:t>
      </w:r>
      <w:r>
        <w:t xml:space="preserve"> </w:t>
      </w:r>
      <w:r>
        <w:t xml:space="preserve">Ingerir a camada L1 (Portal da Transparência) fecharia o eixo Alocação em 3 de 3</w:t>
      </w:r>
      <w:r>
        <w:t xml:space="preserve"> </w:t>
      </w:r>
      <w:r>
        <w:t xml:space="preserve">e reduziria bastante o cinza.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4323b6ecf3ba43d86021fa141bbd52c3398dfe1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 "compras de medicamentos por</w:t>
      </w:r>
      <w:r>
        <w:t xml:space="preserve"> </w:t>
      </w:r>
      <w:r>
        <w:t xml:space="preserve">município" 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7" w:name="Xb8af4f2f13def7f1f49b7dd5465dcfca2020a7f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3" w:name="Xaac4d466ff6d9c2c02d01d7a6942c2831c14bff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3"/>
    <w:bookmarkStart w:id="34" w:name="X896a44e07a6fa3cca4ea4c7ca6fb6225b0e54fd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4"/>
    <w:bookmarkStart w:id="35" w:name="X01bd71359c49e2f0b43bc2a0ac2cfb607cfdddf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5"/>
    <w:bookmarkStart w:id="36" w:name="X4609ddc7cd7ae0d92c1e6e84fe397c606220179"/>
    <w:p>
      <w:pPr>
        <w:pStyle w:val="Heading2"/>
      </w:pPr>
      <w:r>
        <w:t xml:space="preserve">6.4 Município de residência vs. 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be7ef03af25c8195e65b2dfcef51b9fa17fb8f2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Do plano de quatro detectores,</w:t>
      </w:r>
      <w:r>
        <w:t xml:space="preserve"> </w:t>
      </w:r>
      <w:r>
        <w:rPr>
          <w:bCs/>
          <w:b/>
        </w:rPr>
        <w:t xml:space="preserve">três estão ativos</w:t>
      </w:r>
      <w:r>
        <w:t xml:space="preserve">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38" w:name="Xfb97e76f350b7b8768c736787a18d495412f22f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Depende do IEAS ter cor, portanto</w:t>
      </w:r>
      <w:r>
        <w:t xml:space="preserve"> </w:t>
      </w:r>
      <w:r>
        <w:rPr>
          <w:bCs/>
          <w:b/>
        </w:rPr>
        <w:t xml:space="preserve">não produz linhas</w:t>
      </w:r>
      <w:r>
        <w:rPr>
          <w:bCs/>
          <w:b/>
        </w:rPr>
        <w:t xml:space="preserve"> </w:t>
      </w:r>
      <w:r>
        <w:rPr>
          <w:bCs/>
          <w:b/>
        </w:rPr>
        <w:t xml:space="preserve">nesta versão</w:t>
      </w:r>
      <w:r>
        <w:t xml:space="preserve"> </w:t>
      </w:r>
      <w:r>
        <w:t xml:space="preserve">(tudo cinza).</w:t>
      </w:r>
    </w:p>
    <w:bookmarkEnd w:id="38"/>
    <w:bookmarkStart w:id="39" w:name="X671e306356aa6b52f3fe70c4c38a5ac87241763"/>
    <w:p>
      <w:pPr>
        <w:pStyle w:val="Heading2"/>
      </w:pPr>
      <w:r>
        <w:t xml:space="preserve">7.2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 mesma categoria em PE 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Comparar só dentro da</w:t>
      </w:r>
      <w:r>
        <w:t xml:space="preserve"> </w:t>
      </w:r>
      <w:r>
        <w:t xml:space="preserve">categoria — via 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—</w:t>
      </w:r>
      <w:r>
        <w:t xml:space="preserve"> </w:t>
      </w:r>
      <w:r>
        <w:t xml:space="preserve">evita o falso-positivo de confrontar o preço de uma seringa com o de um</w:t>
      </w:r>
      <w:r>
        <w:t xml:space="preserve"> </w:t>
      </w:r>
      <w:r>
        <w:t xml:space="preserve">tomógrafo.</w:t>
      </w:r>
    </w:p>
    <w:p>
      <w:pPr>
        <w:pStyle w:val="BodyText"/>
      </w:pPr>
      <w:r>
        <w:t xml:space="preserve">O preço por item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vem do recurso de consulta genérico do PNCP (esse só</w:t>
      </w:r>
      <w:r>
        <w:t xml:space="preserve"> </w:t>
      </w:r>
      <w:r>
        <w:t xml:space="preserve">traz o valor total da compra);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percorre</w:t>
      </w:r>
      <w:r>
        <w:t xml:space="preserve"> </w:t>
      </w:r>
      <w:r>
        <w:t xml:space="preserve">esse recurso para as ~800 contratações de saúde (modalidades Pregão, Dispensa e</w:t>
      </w:r>
      <w:r>
        <w:t xml:space="preserve"> </w:t>
      </w:r>
      <w:r>
        <w:t xml:space="preserve">Inexigibilidade; Concorrência é obra, sem preço unitário comparável), de forma</w:t>
      </w:r>
      <w:r>
        <w:t xml:space="preserve"> </w:t>
      </w:r>
      <w:r>
        <w:t xml:space="preserve">retomável.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39"/>
    <w:bookmarkStart w:id="40" w:name="X203b497d1140ae337aafc4aa5bac4eec5544cab"/>
    <w:p>
      <w:pPr>
        <w:pStyle w:val="Heading2"/>
      </w:pPr>
      <w:r>
        <w:t xml:space="preserve">7.3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 </w:t>
      </w:r>
      <w:r>
        <w:t xml:space="preserve">no PNCP,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</w:t>
      </w:r>
      <w:r>
        <w:t xml:space="preserve"> </w:t>
      </w:r>
      <w:r>
        <w:t xml:space="preserve">leptospirose → antibiótico penicilina, kit sorológico; etc.).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universal), não</w:t>
      </w:r>
      <w:r>
        <w:t xml:space="preserve"> </w:t>
      </w:r>
      <w:r>
        <w:rPr>
          <w:iCs/>
          <w:i/>
        </w:rPr>
        <w:t xml:space="preserve">falha de</w:t>
      </w:r>
      <w:r>
        <w:rPr>
          <w:iCs/>
          <w:i/>
        </w:rPr>
        <w:t xml:space="preserve"> </w:t>
      </w:r>
      <w:r>
        <w:rPr>
          <w:iCs/>
          <w:i/>
        </w:rPr>
        <w:t xml:space="preserve">política</w:t>
      </w:r>
      <w:r>
        <w:t xml:space="preserve"> </w:t>
      </w:r>
      <w:r>
        <w:t xml:space="preserve">— flagá-lo transformaria a cobertura incompleta do portal em alarme</w:t>
      </w:r>
      <w:r>
        <w:t xml:space="preserve"> </w:t>
      </w:r>
      <w:r>
        <w:t xml:space="preserve">falso.</w:t>
      </w:r>
    </w:p>
    <w:p>
      <w:pPr>
        <w:pStyle w:val="BodyText"/>
      </w:pPr>
      <w:r>
        <w:t xml:space="preserve">O detector 2 (resíduo de regressão robusta) fica de fora: exige o eixo de</w:t>
      </w:r>
      <w:r>
        <w:t xml:space="preserve"> </w:t>
      </w:r>
      <w:r>
        <w:t xml:space="preserve">Alocação completo (L1+L2+L3), e L1/L2 seguem bloqueados.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305cdbe84f9a26b680e5be1e3dedcb2246907fe"/>
    <w:p>
      <w:pPr>
        <w:pStyle w:val="Heading1"/>
      </w:pPr>
      <w:r>
        <w:t xml:space="preserve">8. Camada de apresentação</w:t>
      </w:r>
    </w:p>
    <w:bookmarkStart w:id="42" w:name="Xa26b3e9e77c604e724fae0f20bc4144fa16bc00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)</w:t>
      </w:r>
    </w:p>
    <w:p>
      <w:pPr>
        <w:pStyle w:val="FirstParagraph"/>
      </w:pPr>
      <w:r>
        <w:t xml:space="preserve">Seis 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IEAS mede, estado real das fontes, por que o farol está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 / Necessidade / L3); filtro por mesorregião; legenda;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componentes presentes/ausentes de cada eixo, série de notificações por agravo, incidência por 100 mil,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 do IEAS lida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, regra do cinza, tabela de proveniência lida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 "sem dado")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2"/>
    <w:bookmarkStart w:id="43" w:name="X08d1a206c467d60ebe3f0da75ffa36d20e7998b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d475b9bf16cd5416bf6240943b8884bc74edd1c"/>
    <w:p>
      <w:pPr>
        <w:pStyle w:val="Heading1"/>
      </w:pPr>
      <w:r>
        <w:t xml:space="preserve">9. Resultados</w:t>
      </w:r>
    </w:p>
    <w:bookmarkStart w:id="45" w:name="X97d255bef606b3cf0ef4adb5a99bf2bf29e5147"/>
    <w:p>
      <w:pPr>
        <w:pStyle w:val="Heading2"/>
      </w:pPr>
      <w:r>
        <w:t xml:space="preserve">9.1 Volume ingerido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municípios cobertos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172/185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 homologado total (nominal)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R$ 3,28 bilhões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modalidade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 2.646 · Pregão eletrônico 1.610 · Concorrência 1.140 · Inexigibilidade 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(contratações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  <w:r>
              <w:t xml:space="preserve"> </w:t>
            </w:r>
            <w:r>
              <w:t xml:space="preserve">de 878 contratações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municípios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município-anos com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p>
      <w:pPr>
        <w:pStyle w:val="BodyText"/>
      </w:pPr>
      <w:r>
        <w:t xml:space="preserve">O PNCP tem</w:t>
      </w:r>
      <w:r>
        <w:t xml:space="preserve"> </w:t>
      </w:r>
      <w:r>
        <w:rPr>
          <w:bCs/>
          <w:b/>
        </w:rPr>
        <w:t xml:space="preserve">crescimento acentuado de cobertura ano a ano</w:t>
      </w:r>
      <w:r>
        <w:t xml:space="preserve"> </w:t>
      </w:r>
      <w:r>
        <w:t xml:space="preserve">(6 municípios em</w:t>
      </w:r>
      <w:r>
        <w:t xml:space="preserve"> </w:t>
      </w:r>
      <w:r>
        <w:t xml:space="preserve">2021 → 157 em 2024), reflexo da adesão progressiva à Lei 14.133/2021 — o que</w:t>
      </w:r>
      <w:r>
        <w:t xml:space="preserve"> </w:t>
      </w:r>
      <w:r>
        <w:t xml:space="preserve">torna a série mais confiável nos anos recentes e é uma limitação explícita para</w:t>
      </w:r>
      <w:r>
        <w:t xml:space="preserve"> </w:t>
      </w:r>
      <w:r>
        <w:t xml:space="preserve">análise retrospectiva.</w:t>
      </w:r>
    </w:p>
    <w:bookmarkEnd w:id="45"/>
    <w:bookmarkStart w:id="46" w:name="X71de56a9ccc1cddf16d8e33dffb39986a4f8040"/>
    <w:p>
      <w:pPr>
        <w:pStyle w:val="Heading2"/>
      </w:pPr>
      <w:r>
        <w:t xml:space="preserve">9.2 IEAS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335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 verde · 92 vermelho · 62 azul · 51 amarelo · 590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verde · 41 azul · 26 amarelo · 21 vermelho · 29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(uniforme) — epidemiológico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onde há L2 + L3; 0,33 onde só L2</w:t>
            </w:r>
          </w:p>
        </w:tc>
      </w:tr>
    </w:tbl>
    <w:p>
      <w:pPr>
        <w:pStyle w:val="BodyText"/>
      </w:pPr>
      <w:r>
        <w:t xml:space="preserve">Distribuição do farol por ano (só município-anos com IEAS calculado):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</w:tbl>
    <w:p>
      <w:pPr>
        <w:pStyle w:val="BodyText"/>
      </w:pPr>
      <w:r>
        <w:t xml:space="preserve">Os municípios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em 2024 — necessidade no topo do estado, alocação no</w:t>
      </w:r>
      <w:r>
        <w:t xml:space="preserve"> </w:t>
      </w:r>
      <w:r>
        <w:t xml:space="preserve">fundo — concentram-se na Zona da Mata Norte e no Agreste: Aliança (necessidade</w:t>
      </w:r>
      <w:r>
        <w:t xml:space="preserve"> </w:t>
      </w:r>
      <w:r>
        <w:t xml:space="preserve">percentil 93, alocação 16), Paudalho (74 / 6), Bonito (88 / 21), Moreno (79 /</w:t>
      </w:r>
      <w:r>
        <w:t xml:space="preserve"> </w:t>
      </w:r>
      <w:r>
        <w:t xml:space="preserve">13), Catende (91 / 25). É exatamente o descompasso que o IEAS existe para</w:t>
      </w:r>
      <w:r>
        <w:t xml:space="preserve"> </w:t>
      </w:r>
      <w:r>
        <w:t xml:space="preserve">detectar. O subíndice epidemiológico tem média 0,50 (faixa 0,23–0,78); o de</w:t>
      </w:r>
      <w:r>
        <w:t xml:space="preserve"> </w:t>
      </w:r>
      <w:r>
        <w:t xml:space="preserve">vulnerabilidade, taxa de extrema pobreza mediana de ~190 famílias por mil</w:t>
      </w:r>
      <w:r>
        <w:t xml:space="preserve"> </w:t>
      </w:r>
      <w:r>
        <w:t xml:space="preserve">habitantes (faixa 6–608).</w:t>
      </w:r>
    </w:p>
    <w:bookmarkEnd w:id="46"/>
    <w:bookmarkStart w:id="47" w:name="Xd7020275c49592572cbd75af4a5fbed175a42a5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677 alertas</w:t>
      </w:r>
      <w:r>
        <w:t xml:space="preserve"> </w:t>
      </w:r>
      <w:r>
        <w:t xml:space="preserve">no total: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581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92 de desalinhamento estrutural</w:t>
      </w:r>
      <w:r>
        <w:t xml:space="preserve"> </w:t>
      </w:r>
      <w:r>
        <w:t xml:space="preserve">— os faróis vermelhos, agora que o índice</w:t>
      </w:r>
      <w:r>
        <w:t xml:space="preserve"> </w:t>
      </w:r>
      <w:r>
        <w:t xml:space="preserve">tem cor (o detector 1 não produzia nada na versão anterior).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 de suspeita de sobrepreço</w:t>
      </w:r>
      <w:r>
        <w:t xml:space="preserve"> </w:t>
      </w:r>
      <w:r>
        <w:t xml:space="preserve">— itens de dipirona e amoxicilina+clavulanato</w:t>
      </w:r>
      <w:r>
        <w:t xml:space="preserve"> </w:t>
      </w:r>
      <w:r>
        <w:t xml:space="preserve">a 4,7–6,1× a mediana de PE da categoria.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"Incidência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para o município no</w:t>
      </w:r>
      <w:r>
        <w:rPr>
          <w:iCs/>
          <w:i/>
        </w:rPr>
        <w:t xml:space="preserve"> </w:t>
      </w:r>
      <w:r>
        <w:rPr>
          <w:iCs/>
          <w:i/>
        </w:rPr>
        <w:t xml:space="preserve">período."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9f1a2aa8577a6d455e439e79aef1d52783719c2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 eixo Alocação ainda tem só 2 de 3 camadas.</w:t>
      </w:r>
      <w:r>
        <w:t xml:space="preserve"> </w:t>
      </w:r>
      <w:r>
        <w:t xml:space="preserve">Falta L1 (repasse federal,</w:t>
      </w:r>
      <w:r>
        <w:t xml:space="preserve"> </w:t>
      </w:r>
      <w:r>
        <w:t xml:space="preserve">Portal da Transparência).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de hoje compara necessidade contra L2+L3;</w:t>
      </w:r>
      <w:r>
        <w:t xml:space="preserve"> </w:t>
      </w:r>
      <w:r>
        <w:t xml:space="preserve">quando L1 entrar, o ranking de alocação muda para alguns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 subíndice de saneamento está ausente</w:t>
      </w:r>
      <w:r>
        <w:t xml:space="preserve"> </w:t>
      </w:r>
      <w:r>
        <w:t xml:space="preserve">(SNIS encerrado). O eixo</w:t>
      </w:r>
      <w:r>
        <w:t xml:space="preserve"> </w:t>
      </w:r>
      <w:r>
        <w:t xml:space="preserve">Necessidade combina epidemiologia e vulnerabilidade, mas não déficit</w:t>
      </w:r>
      <w:r>
        <w:t xml:space="preserve"> </w:t>
      </w:r>
      <w:r>
        <w:t xml:space="preserve">sanitário — que é justamente o elo mais forte com as doenças de veiculação</w:t>
      </w:r>
      <w:r>
        <w:t xml:space="preserve"> </w:t>
      </w:r>
      <w:r>
        <w:t xml:space="preserve">hídrica. Substituto planejado: Censo 2022 do IBGE.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camada L3 é rala em 2020–2021</w:t>
      </w:r>
      <w:r>
        <w:t xml:space="preserve"> </w:t>
      </w:r>
      <w:r>
        <w:t xml:space="preserve">(2020 sai inteiro cinza) e densa em 2024. Comparações entre anos devem</w:t>
      </w:r>
      <w:r>
        <w:t xml:space="preserve"> </w:t>
      </w:r>
      <w:r>
        <w:t xml:space="preserve">considerar isso.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Casamento compra × insumo por palavra-chave.</w:t>
      </w:r>
      <w:r>
        <w:t xml:space="preserve"> </w:t>
      </w:r>
      <w:r>
        <w:t xml:space="preserve">Os detectores 3 e 4 casam</w:t>
      </w:r>
      <w:r>
        <w:t xml:space="preserve"> </w:t>
      </w:r>
      <w:r>
        <w:t xml:space="preserve">texto de licitação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</w:t>
      </w:r>
      <w:r>
        <w:t xml:space="preserve"> </w:t>
      </w:r>
      <w:r>
        <w:t xml:space="preserve">curados, não por classificação CATMAT estruturada nem NLP. São</w:t>
      </w:r>
      <w:r>
        <w:t xml:space="preserve"> </w:t>
      </w:r>
      <w:r>
        <w:rPr>
          <w:bCs/>
          <w:b/>
        </w:rPr>
        <w:t xml:space="preserve">suspeitas</w:t>
      </w:r>
      <w:r>
        <w:rPr>
          <w:bCs/>
          <w:b/>
        </w:rPr>
        <w:t xml:space="preserve"> </w:t>
      </w:r>
      <w:r>
        <w:rPr>
          <w:bCs/>
          <w:b/>
        </w:rPr>
        <w:t xml:space="preserve">para auditoria</w:t>
      </w:r>
      <w:r>
        <w:t xml:space="preserve">, não conclusões.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Detector 3 não normaliza por unidade de medida.</w:t>
      </w:r>
      <w:r>
        <w:t xml:space="preserve"> </w:t>
      </w:r>
      <w:r>
        <w:t xml:space="preserve">Compara preços unitários</w:t>
      </w:r>
      <w:r>
        <w:t xml:space="preserve"> </w:t>
      </w:r>
      <w:r>
        <w:t xml:space="preserve">de "ampola" com "frasco" dentro da mesma categoria — a explicação mostra a</w:t>
      </w:r>
      <w:r>
        <w:t xml:space="preserve"> </w:t>
      </w:r>
      <w:r>
        <w:t xml:space="preserve">unidade para o auditor julgar, mas o corte por IQR ainda mistura unidades.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 "azuis".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do CadÚnico tem defasagem de atualização cadastral que varia</w:t>
      </w:r>
      <w:r>
        <w:t xml:space="preserve"> </w:t>
      </w:r>
      <w:r>
        <w:t xml:space="preserve">entre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SIH ausente</w:t>
      </w:r>
      <w:r>
        <w:t xml:space="preserve"> </w:t>
      </w:r>
      <w:r>
        <w:t xml:space="preserve">empobrece o subíndice epidemiológico (só notificações SINAN,</w:t>
      </w:r>
      <w:r>
        <w:t xml:space="preserve"> </w:t>
      </w:r>
      <w:r>
        <w:t xml:space="preserve">sem internações).</w:t>
      </w:r>
    </w:p>
    <w:p>
      <w:r>
        <w:pict>
          <v:rect style="width:0;height:1.5pt" o:hralign="center" o:hrstd="t" o:hr="t"/>
        </w:pict>
      </w:r>
    </w:p>
    <w:bookmarkEnd w:id="49"/>
    <w:bookmarkStart w:id="50" w:name="X1d10be39ca184f069fb8c95ff34add56eecf448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da Transparência, quando houver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PNCP + SIOPS + CadÚnico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59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Testes</w:t>
      </w:r>
      <w:r>
        <w:t xml:space="preserve">: 59 no total — grão do gold (incluindo o join L2/vulnerabilidade),</w:t>
      </w:r>
      <w:r>
        <w:t xml:space="preserve"> </w:t>
      </w:r>
      <w:r>
        <w:t xml:space="preserve">regressão dos três bugs de corrupção silenciosa, IEAS nas quatro cores e os</w:t>
      </w:r>
      <w:r>
        <w:t xml:space="preserve"> </w:t>
      </w:r>
      <w:r>
        <w:t xml:space="preserve">detectores 3 e 4 com fixtures, parsers de SIOPS e CadÚnico, fumaça da API.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Tamanho</w:t>
      </w:r>
      <w:r>
        <w:t xml:space="preserve">: ~3.700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~800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2a31637f58b4e9e2ea36c6b347f17986a503e15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seis — IBGE, SINAN, PNCP, SIOPS, CadÚnico e o Portal da Transparência.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(SINAN), vulnerabilidade</w:t>
      </w:r>
      <w:r>
        <w:t xml:space="preserve"> </w:t>
      </w:r>
      <w:r>
        <w:t xml:space="preserve">(CadÚnico), execução orçamentária (SIOPS), contratações (PNCP) e demografia</w:t>
      </w:r>
      <w:r>
        <w:t xml:space="preserve"> </w:t>
      </w:r>
      <w:r>
        <w:t xml:space="preserve">(IBGE) num grão único.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3" w:name="Xe56278aa016976dc35a575a60896b2fb3288f1e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Entre a v1.0 e a v1.1, três fontes que constavam como bloqueadas foram</w:t>
      </w:r>
      <w:r>
        <w:t xml:space="preserve"> </w:t>
      </w:r>
      <w:r>
        <w:t xml:space="preserve">destravadas — SIOPS (L2), CadÚnico (vulnerabilidade) e o recurso de item do</w:t>
      </w:r>
      <w:r>
        <w:t xml:space="preserve"> </w:t>
      </w:r>
      <w:r>
        <w:t xml:space="preserve">PNCP (detector 3) —, o que deu cor ao farol. O que resta: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Portal da Transparência — L1.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exige nível de</w:t>
      </w:r>
      <w:r>
        <w:t xml:space="preserve"> </w:t>
      </w:r>
      <w:r>
        <w:t xml:space="preserve">acesso gov.br elevado (HTTP 403). A chave gratuita já</w:t>
      </w:r>
      <w:r>
        <w:t xml:space="preserve"> </w:t>
      </w:r>
      <w:r>
        <w:rPr>
          <w:bCs/>
          <w:b/>
        </w:rPr>
        <w:t xml:space="preserve">funciona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bolsa-familia-por-municipio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auxilio-emergencial-por-municipio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convenios</w:t>
      </w:r>
      <w:r>
        <w:t xml:space="preserve"> </w:t>
      </w:r>
      <w:r>
        <w:t xml:space="preserve">(todos com</w:t>
      </w:r>
      <w:r>
        <w:t xml:space="preserve"> </w:t>
      </w:r>
      <w:r>
        <w:rPr>
          <w:rStyle w:val="VerbatimChar"/>
        </w:rPr>
        <w:t xml:space="preserve">codigoIbge</w:t>
      </w:r>
      <w:r>
        <w:t xml:space="preserve"> </w:t>
      </w:r>
      <w:r>
        <w:t xml:space="preserve">→ HTTP 200); dá para montar um L1 parcial</w:t>
      </w:r>
      <w:r>
        <w:t xml:space="preserve"> </w:t>
      </w:r>
      <w:r>
        <w:t xml:space="preserve">com esses e fechar o eixo Alocação em 3 de 3 camadas.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Saneamento (substituto do SNIS).</w:t>
      </w:r>
      <w:r>
        <w:t xml:space="preserve"> </w:t>
      </w:r>
      <w:r>
        <w:t xml:space="preserve">O SNIS foi encerrado em 2023 (sucessor</w:t>
      </w:r>
      <w:r>
        <w:t xml:space="preserve"> </w:t>
      </w:r>
      <w:r>
        <w:t xml:space="preserve">SINISA, sem série histórica municipal) e o domínio da série histórica não</w:t>
      </w:r>
      <w:r>
        <w:t xml:space="preserve"> </w:t>
      </w:r>
      <w:r>
        <w:t xml:space="preserve">resolve. Substituir o subíndice pelos dados de</w:t>
      </w:r>
      <w:r>
        <w:t xml:space="preserve"> </w:t>
      </w:r>
      <w:r>
        <w:rPr>
          <w:bCs/>
          <w:b/>
        </w:rPr>
        <w:t xml:space="preserve">abastecimento de água /</w:t>
      </w:r>
      <w:r>
        <w:rPr>
          <w:bCs/>
          <w:b/>
        </w:rPr>
        <w:t xml:space="preserve"> </w:t>
      </w:r>
      <w:r>
        <w:rPr>
          <w:bCs/>
          <w:b/>
        </w:rPr>
        <w:t xml:space="preserve">esgoto / lixo do Censo 2022 do IBGE</w:t>
      </w:r>
      <w:r>
        <w:t xml:space="preserve"> </w:t>
      </w:r>
      <w:r>
        <w:t xml:space="preserve">— mesma família de fonte já ingerida,</w:t>
      </w:r>
      <w:r>
        <w:t xml:space="preserve"> </w:t>
      </w:r>
      <w:r>
        <w:t xml:space="preserve">catalogada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 </w:t>
      </w:r>
      <w:r>
        <w:t xml:space="preserve">—, o que fecha o eixo Necessidade em 3 de 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Detector 3 — normalização por unidade.</w:t>
      </w:r>
      <w:r>
        <w:t xml:space="preserve"> </w:t>
      </w:r>
      <w:r>
        <w:t xml:space="preserve">Comparar preço unitário só entre</w:t>
      </w:r>
      <w:r>
        <w:t xml:space="preserve"> </w:t>
      </w:r>
      <w:r>
        <w:t xml:space="preserve">itens da mesma unidade de medida (ou converter mg/ml → dose), e rodar</w:t>
      </w:r>
      <w:r>
        <w:t xml:space="preserve"> </w:t>
      </w:r>
      <w:r>
        <w:rPr>
          <w:rStyle w:val="VerbatimChar"/>
        </w:rPr>
        <w:t xml:space="preserve">farol ingest-itens</w:t>
      </w:r>
      <w:r>
        <w:t xml:space="preserve"> </w:t>
      </w:r>
      <w:r>
        <w:t xml:space="preserve">completo (hoje ~880 de ~1.400 contratos de saúde).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Detector 2 (resíduo de regressão)</w:t>
      </w:r>
      <w:r>
        <w:t xml:space="preserve"> </w:t>
      </w:r>
      <w:r>
        <w:t xml:space="preserve">passa a ser viável quando L1 entrar e o</w:t>
      </w:r>
      <w:r>
        <w:t xml:space="preserve"> </w:t>
      </w:r>
      <w:r>
        <w:t xml:space="preserve">eixo Alocação ficar completo.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 no repositório; o push já foi feito</w:t>
      </w:r>
      <w:r>
        <w:t xml:space="preserve"> </w:t>
      </w:r>
      <w:r>
        <w:t xml:space="preserve">para</w:t>
      </w:r>
      <w:r>
        <w:t xml:space="preserve"> </w:t>
      </w:r>
      <w:hyperlink r:id="rId52">
        <w:r>
          <w:rPr>
            <w:rStyle w:val="Hyperlink"/>
          </w:rPr>
          <w:t xml:space="preserve">https://github.com/protazoarium/farol-ss</w:t>
        </w:r>
      </w:hyperlink>
      <w:r>
        <w:t xml:space="preserve">. Falta o "New app" no</w:t>
      </w:r>
      <w:r>
        <w:t xml:space="preserve"> </w:t>
      </w:r>
      <w:r>
        <w:t xml:space="preserve">Streamlit Community Cloud (conta do autor).</w:t>
      </w:r>
    </w:p>
    <w:p>
      <w:r>
        <w:pict>
          <v:rect style="width:0;height:1.5pt" o:hralign="center" o:hrstd="t" o:hr="t"/>
        </w:pict>
      </w:r>
    </w:p>
    <w:bookmarkEnd w:id="53"/>
    <w:bookmarkStart w:id="54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>Concebido e implementado com Claude (Anthropic)</dc:creator>
  <dc:language>pt-BR</dc:language>
  <cp:keywords/>
  <dcterms:created xsi:type="dcterms:W3CDTF">2026-08-30T03:51:46Z</dcterms:created>
  <dcterms:modified xsi:type="dcterms:W3CDTF">2026-08-30T03:51:46Z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detectores de anomalia, a camada de apresentação (painel web e API aberta) e os resultados: cinco fontes federais abertas alimentam o índice, que é calculado para 335 dos 925 município-anos. Documenta também os bloqueios de fonte encontrados e as soluções adotadas (raspagem do TabNet legado do SIOPS, índice Solr do SAGI para o CadÚnico, recurso de item do PNCP para preço unitário) e três classes de bug de corrupção silenciosa detectadas apenas contra dado real.</vt:lpwstr>
  </property>
  <property fmtid="{D5CDD505-2E9C-101B-9397-08002B2CF9AE}" pid="3" name="date">
    <vt:lpwstr>Versão 1.1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  <property fmtid="{D5CDD505-2E9C-101B-9397-08002B2CF9AE}" pid="5" name="toc-title">
    <vt:lpwstr>Sumário</vt:lpwstr>
  </property>
</Properties>
</file>