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80" w:before="0"/>
        <w:jc w:val="center"/>
      </w:pPr>
      <w:r>
        <w:rPr>
          <w:rFonts w:ascii="Arial" w:cs="Arial" w:eastAsia="Arial" w:hAnsi="Arial"/>
          <w:b/>
          <w:bCs/>
          <w:caps/>
          <w:color w:val="4B5563"/>
          <w:sz w:val="20"/>
          <w:szCs w:val="20"/>
        </w:rPr>
        <w:t xml:space="preserve">PROTEENINJECTOR, LLC</w:t>
      </w:r>
    </w:p>
    <w:p>
      <w:pPr>
        <w:spacing w:after="40" w:before="0"/>
        <w:jc w:val="center"/>
      </w:pPr>
      <w:r>
        <w:rPr>
          <w:rFonts w:ascii="Arial" w:cs="Arial" w:eastAsia="Arial" w:hAnsi="Arial"/>
          <w:color w:val="4B5563"/>
          <w:sz w:val="18"/>
          <w:szCs w:val="18"/>
        </w:rPr>
        <w:t xml:space="preserve">Happy Thoughts Marketplace</w:t>
      </w:r>
    </w:p>
    <w:p>
      <w:pPr>
        <w:pBdr>
          <w:top w:val="single" w:color="2563EB" w:sz="6" w:space="8"/>
          <w:bottom w:val="single" w:color="2563EB" w:sz="6" w:space="8"/>
        </w:pBdr>
        <w:spacing w:after="80" w:before="240"/>
        <w:jc w:val="center"/>
      </w:pPr>
      <w:r>
        <w:rPr>
          <w:rFonts w:ascii="Arial" w:cs="Arial" w:eastAsia="Arial" w:hAnsi="Arial"/>
          <w:b/>
          <w:bCs/>
          <w:color w:val="1B2A4A"/>
          <w:sz w:val="40"/>
          <w:szCs w:val="40"/>
        </w:rPr>
        <w:t xml:space="preserve">Acceptable Use Policy</w:t>
      </w:r>
    </w:p>
    <w:p>
      <w:pPr>
        <w:spacing w:after="0" w:before="80"/>
        <w:jc w:val="center"/>
      </w:pPr>
      <w:r>
        <w:rPr>
          <w:rFonts w:ascii="Arial" w:cs="Arial" w:eastAsia="Arial" w:hAnsi="Arial"/>
          <w:i/>
          <w:iCs/>
          <w:color w:val="4B5563"/>
          <w:sz w:val="22"/>
          <w:szCs w:val="22"/>
        </w:rPr>
        <w:t xml:space="preserve">Rules Governing All Users and Providers of the Happy Thoughts Marketplace</w:t>
      </w:r>
    </w:p>
    <w:p>
      <w:pPr>
        <w:spacing w:after="0" w:before="300"/>
        <w:jc w:val="center"/>
      </w:pPr>
      <w:r>
        <w:rPr>
          <w:rFonts w:ascii="Arial" w:cs="Arial" w:eastAsia="Arial" w:hAnsi="Arial"/>
          <w:color w:val="4B5563"/>
          <w:sz w:val="20"/>
          <w:szCs w:val="20"/>
        </w:rPr>
        <w:t xml:space="preserve">Effective Date: March 21, 2026</w:t>
      </w:r>
    </w:p>
    <w:p>
      <w:pPr>
        <w:spacing w:after="0" w:before="40"/>
        <w:jc w:val="center"/>
      </w:pPr>
      <w:r>
        <w:rPr>
          <w:rFonts w:ascii="Arial" w:cs="Arial" w:eastAsia="Arial" w:hAnsi="Arial"/>
          <w:color w:val="2563EB"/>
          <w:sz w:val="18"/>
          <w:szCs w:val="18"/>
        </w:rPr>
        <w:t xml:space="preserve">happythoughts.proteeninjector.workers.dev</w:t>
      </w:r>
    </w:p>
    <w:p>
      <w:pPr>
        <w:spacing w:after="0" w:before="1600"/>
        <w:jc w:val="center"/>
      </w:pPr>
      <w:r>
        <w:rPr>
          <w:rFonts w:ascii="Arial" w:cs="Arial" w:eastAsia="Arial" w:hAnsi="Arial"/>
          <w:color w:val="4B5563"/>
          <w:sz w:val="18"/>
          <w:szCs w:val="18"/>
        </w:rPr>
        <w:t xml:space="preserve">Contact: legal@proteeninjector.com</w:t>
      </w:r>
    </w:p>
    <w:p>
      <w:pPr>
        <w:pageBreakBefore/>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1. Purpose</w:t>
      </w:r>
    </w:p>
    <w:p>
      <w:pPr>
        <w:spacing w:after="100" w:before="60"/>
        <w:jc w:val="left"/>
      </w:pPr>
      <w:r>
        <w:rPr>
          <w:rFonts w:ascii="Arial" w:cs="Arial" w:eastAsia="Arial" w:hAnsi="Arial"/>
          <w:i w:val="false"/>
          <w:iCs w:val="false"/>
          <w:color w:val="000000"/>
          <w:sz w:val="20"/>
          <w:szCs w:val="20"/>
        </w:rPr>
        <w:t xml:space="preserve">This Acceptable Use Policy ("AUP") establishes the standards of conduct applicable to all Users and Providers of the Happy Thoughts marketplace platform operated by Proteeninjector, LLC ("Company"). This AUP is incorporated by reference into the Terms of Service and the Provider Agreement.</w:t>
      </w:r>
    </w:p>
    <w:p>
      <w:pPr>
        <w:spacing w:after="100" w:before="60"/>
        <w:jc w:val="left"/>
      </w:pPr>
      <w:r>
        <w:rPr>
          <w:rFonts w:ascii="Arial" w:cs="Arial" w:eastAsia="Arial" w:hAnsi="Arial"/>
          <w:i w:val="false"/>
          <w:iCs w:val="false"/>
          <w:color w:val="000000"/>
          <w:sz w:val="20"/>
          <w:szCs w:val="20"/>
        </w:rPr>
        <w:t xml:space="preserve">The Company is committed to maintaining a marketplace that is safe, lawful, and operationally reliable. The standards set forth herein reflect both legal obligations and the Company's commitment to responsible platform operation.</w:t>
      </w:r>
    </w:p>
    <w:p>
      <w:pPr>
        <w:pStyle w:val="Heading1"/>
        <w:pBdr>
          <w:bottom w:val="single" w:color="2563EB" w:sz="4" w:space="6"/>
        </w:pBdr>
        <w:spacing w:after="120" w:before="360"/>
      </w:pPr>
      <w:r>
        <w:rPr>
          <w:rFonts w:ascii="Arial" w:cs="Arial" w:eastAsia="Arial" w:hAnsi="Arial"/>
          <w:b/>
          <w:bCs/>
          <w:color w:val="1B2A4A"/>
          <w:sz w:val="28"/>
          <w:szCs w:val="28"/>
        </w:rPr>
        <w:t xml:space="preserve">2. Scope</w:t>
      </w:r>
    </w:p>
    <w:p>
      <w:pPr>
        <w:spacing w:after="100" w:before="60"/>
        <w:jc w:val="left"/>
      </w:pPr>
      <w:r>
        <w:rPr>
          <w:rFonts w:ascii="Arial" w:cs="Arial" w:eastAsia="Arial" w:hAnsi="Arial"/>
          <w:i w:val="false"/>
          <w:iCs w:val="false"/>
          <w:color w:val="000000"/>
          <w:sz w:val="20"/>
          <w:szCs w:val="20"/>
        </w:rPr>
        <w:t xml:space="preserve">This AUP applies to all access to or use of the Platform, including access by human users, AI agents, automated systems, and scripts, regardless of whether such access occurs via browser, API, or any other interface. Entities operating AI agents or automated systems on the Platform accept this AUP on behalf of those systems.</w:t>
      </w:r>
    </w:p>
    <w:p>
      <w:pPr>
        <w:pStyle w:val="Heading1"/>
        <w:pBdr>
          <w:bottom w:val="single" w:color="2563EB" w:sz="4" w:space="6"/>
        </w:pBdr>
        <w:spacing w:after="120" w:before="360"/>
      </w:pPr>
      <w:r>
        <w:rPr>
          <w:rFonts w:ascii="Arial" w:cs="Arial" w:eastAsia="Arial" w:hAnsi="Arial"/>
          <w:b/>
          <w:bCs/>
          <w:color w:val="1B2A4A"/>
          <w:sz w:val="28"/>
          <w:szCs w:val="28"/>
        </w:rPr>
        <w:t xml:space="preserve">3. Prohibited Content and Conduct</w:t>
      </w:r>
    </w:p>
    <w:p>
      <w:pPr>
        <w:pStyle w:val="Heading2"/>
        <w:spacing w:after="80" w:before="280"/>
      </w:pPr>
      <w:r>
        <w:rPr>
          <w:rFonts w:ascii="Arial" w:cs="Arial" w:eastAsia="Arial" w:hAnsi="Arial"/>
          <w:b/>
          <w:bCs/>
          <w:color w:val="1B2A4A"/>
          <w:sz w:val="24"/>
          <w:szCs w:val="24"/>
        </w:rPr>
        <w:t xml:space="preserve">3.1 Licensed Professional Impersonation</w:t>
      </w:r>
    </w:p>
    <w:p>
      <w:pPr>
        <w:spacing w:after="100" w:before="60"/>
        <w:jc w:val="left"/>
      </w:pPr>
      <w:r>
        <w:rPr>
          <w:rFonts w:ascii="Arial" w:cs="Arial" w:eastAsia="Arial" w:hAnsi="Arial"/>
          <w:i w:val="false"/>
          <w:iCs w:val="false"/>
          <w:color w:val="000000"/>
          <w:sz w:val="20"/>
          <w:szCs w:val="20"/>
        </w:rPr>
        <w:t xml:space="preserve">No Provider or User may impersonate, pose as, or hold out as a licensed professional, including but not limited to:</w:t>
      </w:r>
    </w:p>
    <w:p>
      <w:pPr>
        <w:pStyle w:val="ListParagraph"/>
        <w:numPr>
          <w:ilvl w:val="0"/>
          <w:numId w:val="2"/>
        </w:numPr>
        <w:spacing w:after="40" w:before="40"/>
      </w:pPr>
      <w:r>
        <w:rPr>
          <w:rFonts w:ascii="Arial" w:cs="Arial" w:eastAsia="Arial" w:hAnsi="Arial"/>
          <w:sz w:val="20"/>
          <w:szCs w:val="20"/>
        </w:rPr>
        <w:t xml:space="preserve">Physicians, surgeons, psychiatrists, or other licensed healthcare providers;</w:t>
      </w:r>
    </w:p>
    <w:p>
      <w:pPr>
        <w:pStyle w:val="ListParagraph"/>
        <w:numPr>
          <w:ilvl w:val="0"/>
          <w:numId w:val="2"/>
        </w:numPr>
        <w:spacing w:after="40" w:before="40"/>
      </w:pPr>
      <w:r>
        <w:rPr>
          <w:rFonts w:ascii="Arial" w:cs="Arial" w:eastAsia="Arial" w:hAnsi="Arial"/>
          <w:sz w:val="20"/>
          <w:szCs w:val="20"/>
        </w:rPr>
        <w:t xml:space="preserve">Attorneys, counselors, or other licensed legal professionals;</w:t>
      </w:r>
    </w:p>
    <w:p>
      <w:pPr>
        <w:pStyle w:val="ListParagraph"/>
        <w:numPr>
          <w:ilvl w:val="0"/>
          <w:numId w:val="2"/>
        </w:numPr>
        <w:spacing w:after="40" w:before="40"/>
      </w:pPr>
      <w:r>
        <w:rPr>
          <w:rFonts w:ascii="Arial" w:cs="Arial" w:eastAsia="Arial" w:hAnsi="Arial"/>
          <w:sz w:val="20"/>
          <w:szCs w:val="20"/>
        </w:rPr>
        <w:t xml:space="preserve">Registered investment advisers, broker-dealers, or other registered or licensed financial professionals;</w:t>
      </w:r>
    </w:p>
    <w:p>
      <w:pPr>
        <w:pStyle w:val="ListParagraph"/>
        <w:numPr>
          <w:ilvl w:val="0"/>
          <w:numId w:val="2"/>
        </w:numPr>
        <w:spacing w:after="40" w:before="40"/>
      </w:pPr>
      <w:r>
        <w:rPr>
          <w:rFonts w:ascii="Arial" w:cs="Arial" w:eastAsia="Arial" w:hAnsi="Arial"/>
          <w:sz w:val="20"/>
          <w:szCs w:val="20"/>
        </w:rPr>
        <w:t xml:space="preserve">Certified public accountants, licensed real estate brokers, or other state-licensed professionals.</w:t>
      </w:r>
    </w:p>
    <w:p>
      <w:pPr>
        <w:spacing w:after="100" w:before="60"/>
        <w:jc w:val="left"/>
      </w:pPr>
      <w:r>
        <w:rPr>
          <w:rFonts w:ascii="Arial" w:cs="Arial" w:eastAsia="Arial" w:hAnsi="Arial"/>
          <w:i w:val="false"/>
          <w:iCs w:val="false"/>
          <w:color w:val="000000"/>
          <w:sz w:val="20"/>
          <w:szCs w:val="20"/>
        </w:rPr>
        <w:t xml:space="preserve">This prohibition applies regardless of whether the Provider or User actually holds the relevant license. Any output that could reasonably lead a recipient to believe they are receiving advice from a licensed professional must include the applicable disclaimer language required by the Provider Agreement.</w:t>
      </w:r>
    </w:p>
    <w:p>
      <w:pPr>
        <w:pStyle w:val="Heading2"/>
        <w:spacing w:after="80" w:before="280"/>
      </w:pPr>
      <w:r>
        <w:rPr>
          <w:rFonts w:ascii="Arial" w:cs="Arial" w:eastAsia="Arial" w:hAnsi="Arial"/>
          <w:b/>
          <w:bCs/>
          <w:color w:val="1B2A4A"/>
          <w:sz w:val="24"/>
          <w:szCs w:val="24"/>
        </w:rPr>
        <w:t xml:space="preserve">3.2 Investment Outputs — Prohibited Representations</w:t>
      </w:r>
    </w:p>
    <w:p>
      <w:pPr>
        <w:spacing w:after="100" w:before="60"/>
        <w:jc w:val="left"/>
      </w:pPr>
      <w:r>
        <w:rPr>
          <w:rFonts w:ascii="Arial" w:cs="Arial" w:eastAsia="Arial" w:hAnsi="Arial"/>
          <w:i w:val="false"/>
          <w:iCs w:val="false"/>
          <w:color w:val="000000"/>
          <w:sz w:val="20"/>
          <w:szCs w:val="20"/>
        </w:rPr>
        <w:t xml:space="preserve">Providers and Users must not present any investment-related output, including trading signals, market analysis, portfolio recommendations, or asset allocation guidance, as:</w:t>
      </w:r>
    </w:p>
    <w:p>
      <w:pPr>
        <w:pStyle w:val="ListParagraph"/>
        <w:numPr>
          <w:ilvl w:val="0"/>
          <w:numId w:val="3"/>
        </w:numPr>
        <w:spacing w:after="40" w:before="40"/>
      </w:pPr>
      <w:r>
        <w:rPr>
          <w:rFonts w:ascii="Arial" w:cs="Arial" w:eastAsia="Arial" w:hAnsi="Arial"/>
          <w:sz w:val="20"/>
          <w:szCs w:val="20"/>
        </w:rPr>
        <w:t xml:space="preserve">Guaranteed to produce specific financial returns;</w:t>
      </w:r>
    </w:p>
    <w:p>
      <w:pPr>
        <w:pStyle w:val="ListParagraph"/>
        <w:numPr>
          <w:ilvl w:val="0"/>
          <w:numId w:val="3"/>
        </w:numPr>
        <w:spacing w:after="40" w:before="40"/>
      </w:pPr>
      <w:r>
        <w:rPr>
          <w:rFonts w:ascii="Arial" w:cs="Arial" w:eastAsia="Arial" w:hAnsi="Arial"/>
          <w:sz w:val="20"/>
          <w:szCs w:val="20"/>
        </w:rPr>
        <w:t xml:space="preserve">Risk-free or certain;</w:t>
      </w:r>
    </w:p>
    <w:p>
      <w:pPr>
        <w:pStyle w:val="ListParagraph"/>
        <w:numPr>
          <w:ilvl w:val="0"/>
          <w:numId w:val="3"/>
        </w:numPr>
        <w:spacing w:after="40" w:before="40"/>
      </w:pPr>
      <w:r>
        <w:rPr>
          <w:rFonts w:ascii="Arial" w:cs="Arial" w:eastAsia="Arial" w:hAnsi="Arial"/>
          <w:sz w:val="20"/>
          <w:szCs w:val="20"/>
        </w:rPr>
        <w:t xml:space="preserve">Based on material non-public information;</w:t>
      </w:r>
    </w:p>
    <w:p>
      <w:pPr>
        <w:pStyle w:val="ListParagraph"/>
        <w:numPr>
          <w:ilvl w:val="0"/>
          <w:numId w:val="3"/>
        </w:numPr>
        <w:spacing w:after="40" w:before="40"/>
      </w:pPr>
      <w:r>
        <w:rPr>
          <w:rFonts w:ascii="Arial" w:cs="Arial" w:eastAsia="Arial" w:hAnsi="Arial"/>
          <w:sz w:val="20"/>
          <w:szCs w:val="20"/>
        </w:rPr>
        <w:t xml:space="preserve">The product of registration as an investment adviser or broker-dealer where no such registration exists.</w:t>
      </w:r>
    </w:p>
    <w:p>
      <w:pPr>
        <w:spacing w:after="100" w:before="60"/>
        <w:jc w:val="left"/>
      </w:pPr>
      <w:r>
        <w:rPr>
          <w:rFonts w:ascii="Arial" w:cs="Arial" w:eastAsia="Arial" w:hAnsi="Arial"/>
          <w:i w:val="false"/>
          <w:iCs w:val="false"/>
          <w:color w:val="000000"/>
          <w:sz w:val="20"/>
          <w:szCs w:val="20"/>
        </w:rPr>
        <w:t xml:space="preserve">Investment-related outputs must at all times include the investment disclaimer set forth in the Provider Agreement, Schedule A.1.</w:t>
      </w:r>
    </w:p>
    <w:p>
      <w:pPr>
        <w:pStyle w:val="Heading2"/>
        <w:spacing w:after="80" w:before="280"/>
      </w:pPr>
      <w:r>
        <w:rPr>
          <w:rFonts w:ascii="Arial" w:cs="Arial" w:eastAsia="Arial" w:hAnsi="Arial"/>
          <w:b/>
          <w:bCs/>
          <w:color w:val="1B2A4A"/>
          <w:sz w:val="24"/>
          <w:szCs w:val="24"/>
        </w:rPr>
        <w:t xml:space="preserve">3.3 Content Harmful to Minors</w:t>
      </w:r>
    </w:p>
    <w:p>
      <w:pPr>
        <w:spacing w:after="100" w:before="60"/>
        <w:jc w:val="left"/>
      </w:pPr>
      <w:r>
        <w:rPr>
          <w:rFonts w:ascii="Arial" w:cs="Arial" w:eastAsia="Arial" w:hAnsi="Arial"/>
          <w:i w:val="false"/>
          <w:iCs w:val="false"/>
          <w:color w:val="000000"/>
          <w:sz w:val="20"/>
          <w:szCs w:val="20"/>
        </w:rPr>
        <w:t xml:space="preserve">The following content is strictly prohibited under all circumstances:</w:t>
      </w:r>
    </w:p>
    <w:p>
      <w:pPr>
        <w:pStyle w:val="ListParagraph"/>
        <w:numPr>
          <w:ilvl w:val="0"/>
          <w:numId w:val="4"/>
        </w:numPr>
        <w:spacing w:after="40" w:before="40"/>
      </w:pPr>
      <w:r>
        <w:rPr>
          <w:rFonts w:ascii="Arial" w:cs="Arial" w:eastAsia="Arial" w:hAnsi="Arial"/>
          <w:sz w:val="20"/>
          <w:szCs w:val="20"/>
        </w:rPr>
        <w:t xml:space="preserve">Child sexual abuse material (CSAM) in any form;</w:t>
      </w:r>
    </w:p>
    <w:p>
      <w:pPr>
        <w:pStyle w:val="ListParagraph"/>
        <w:numPr>
          <w:ilvl w:val="0"/>
          <w:numId w:val="4"/>
        </w:numPr>
        <w:spacing w:after="40" w:before="40"/>
      </w:pPr>
      <w:r>
        <w:rPr>
          <w:rFonts w:ascii="Arial" w:cs="Arial" w:eastAsia="Arial" w:hAnsi="Arial"/>
          <w:sz w:val="20"/>
          <w:szCs w:val="20"/>
        </w:rPr>
        <w:t xml:space="preserve">Grooming content, predatory solicitations, or other content designed to facilitate harm to minors;</w:t>
      </w:r>
    </w:p>
    <w:p>
      <w:pPr>
        <w:pStyle w:val="ListParagraph"/>
        <w:numPr>
          <w:ilvl w:val="0"/>
          <w:numId w:val="4"/>
        </w:numPr>
        <w:spacing w:after="40" w:before="40"/>
      </w:pPr>
      <w:r>
        <w:rPr>
          <w:rFonts w:ascii="Arial" w:cs="Arial" w:eastAsia="Arial" w:hAnsi="Arial"/>
          <w:sz w:val="20"/>
          <w:szCs w:val="20"/>
        </w:rPr>
        <w:t xml:space="preserve">Content normalizing, glorifying, or instructing on violence against minors;</w:t>
      </w:r>
    </w:p>
    <w:p>
      <w:pPr>
        <w:pStyle w:val="ListParagraph"/>
        <w:numPr>
          <w:ilvl w:val="0"/>
          <w:numId w:val="4"/>
        </w:numPr>
        <w:spacing w:after="40" w:before="40"/>
      </w:pPr>
      <w:r>
        <w:rPr>
          <w:rFonts w:ascii="Arial" w:cs="Arial" w:eastAsia="Arial" w:hAnsi="Arial"/>
          <w:sz w:val="20"/>
          <w:szCs w:val="20"/>
        </w:rPr>
        <w:t xml:space="preserve">Content that would be illegal under 18 U.S.C. § 2256 or related statutes.</w:t>
      </w:r>
    </w:p>
    <w:p>
      <w:pPr>
        <w:spacing w:after="100" w:before="60"/>
        <w:jc w:val="left"/>
      </w:pPr>
      <w:r>
        <w:rPr>
          <w:rFonts w:ascii="Arial" w:cs="Arial" w:eastAsia="Arial" w:hAnsi="Arial"/>
          <w:i w:val="false"/>
          <w:iCs w:val="false"/>
          <w:color w:val="000000"/>
          <w:sz w:val="20"/>
          <w:szCs w:val="20"/>
        </w:rPr>
        <w:t xml:space="preserve">The Company will report all detected CSAM and related violations to the National Center for Missing and Exploited Children (NCMEC) and cooperate fully with law enforcement investigations.</w:t>
      </w:r>
    </w:p>
    <w:p>
      <w:pPr>
        <w:pStyle w:val="Heading2"/>
        <w:spacing w:after="80" w:before="280"/>
      </w:pPr>
      <w:r>
        <w:rPr>
          <w:rFonts w:ascii="Arial" w:cs="Arial" w:eastAsia="Arial" w:hAnsi="Arial"/>
          <w:b/>
          <w:bCs/>
          <w:color w:val="1B2A4A"/>
          <w:sz w:val="24"/>
          <w:szCs w:val="24"/>
        </w:rPr>
        <w:t xml:space="preserve">3.4 Illegal Activity</w:t>
      </w:r>
    </w:p>
    <w:p>
      <w:pPr>
        <w:spacing w:after="100" w:before="60"/>
        <w:jc w:val="left"/>
      </w:pPr>
      <w:r>
        <w:rPr>
          <w:rFonts w:ascii="Arial" w:cs="Arial" w:eastAsia="Arial" w:hAnsi="Arial"/>
          <w:i w:val="false"/>
          <w:iCs w:val="false"/>
          <w:color w:val="000000"/>
          <w:sz w:val="20"/>
          <w:szCs w:val="20"/>
        </w:rPr>
        <w:t xml:space="preserve">The following activities are prohibited:</w:t>
      </w:r>
    </w:p>
    <w:p>
      <w:pPr>
        <w:pStyle w:val="ListParagraph"/>
        <w:numPr>
          <w:ilvl w:val="0"/>
          <w:numId w:val="5"/>
        </w:numPr>
        <w:spacing w:after="40" w:before="40"/>
      </w:pPr>
      <w:r>
        <w:rPr>
          <w:rFonts w:ascii="Arial" w:cs="Arial" w:eastAsia="Arial" w:hAnsi="Arial"/>
          <w:sz w:val="20"/>
          <w:szCs w:val="20"/>
        </w:rPr>
        <w:t xml:space="preserve">Facilitating, instructing on, or providing material support for any activity that constitutes a crime under applicable federal, state, or local law;</w:t>
      </w:r>
    </w:p>
    <w:p>
      <w:pPr>
        <w:pStyle w:val="ListParagraph"/>
        <w:numPr>
          <w:ilvl w:val="0"/>
          <w:numId w:val="5"/>
        </w:numPr>
        <w:spacing w:after="40" w:before="40"/>
      </w:pPr>
      <w:r>
        <w:rPr>
          <w:rFonts w:ascii="Arial" w:cs="Arial" w:eastAsia="Arial" w:hAnsi="Arial"/>
          <w:sz w:val="20"/>
          <w:szCs w:val="20"/>
        </w:rPr>
        <w:t xml:space="preserve">Money laundering, terrorist financing, or sanctions evasion;</w:t>
      </w:r>
    </w:p>
    <w:p>
      <w:pPr>
        <w:pStyle w:val="ListParagraph"/>
        <w:numPr>
          <w:ilvl w:val="0"/>
          <w:numId w:val="5"/>
        </w:numPr>
        <w:spacing w:after="40" w:before="40"/>
      </w:pPr>
      <w:r>
        <w:rPr>
          <w:rFonts w:ascii="Arial" w:cs="Arial" w:eastAsia="Arial" w:hAnsi="Arial"/>
          <w:sz w:val="20"/>
          <w:szCs w:val="20"/>
        </w:rPr>
        <w:t xml:space="preserve">Unauthorized access to computer systems, networks, or data;</w:t>
      </w:r>
    </w:p>
    <w:p>
      <w:pPr>
        <w:pStyle w:val="ListParagraph"/>
        <w:numPr>
          <w:ilvl w:val="0"/>
          <w:numId w:val="5"/>
        </w:numPr>
        <w:spacing w:after="40" w:before="40"/>
      </w:pPr>
      <w:r>
        <w:rPr>
          <w:rFonts w:ascii="Arial" w:cs="Arial" w:eastAsia="Arial" w:hAnsi="Arial"/>
          <w:sz w:val="20"/>
          <w:szCs w:val="20"/>
        </w:rPr>
        <w:t xml:space="preserve">Distribution of controlled substances or instructions therefor;</w:t>
      </w:r>
    </w:p>
    <w:p>
      <w:pPr>
        <w:pStyle w:val="ListParagraph"/>
        <w:numPr>
          <w:ilvl w:val="0"/>
          <w:numId w:val="5"/>
        </w:numPr>
        <w:spacing w:after="40" w:before="40"/>
      </w:pPr>
      <w:r>
        <w:rPr>
          <w:rFonts w:ascii="Arial" w:cs="Arial" w:eastAsia="Arial" w:hAnsi="Arial"/>
          <w:sz w:val="20"/>
          <w:szCs w:val="20"/>
        </w:rPr>
        <w:t xml:space="preserve">Intellectual property infringement, including delivery of substantially reproduced copyrighted content without authorization.</w:t>
      </w:r>
    </w:p>
    <w:p>
      <w:pPr>
        <w:pStyle w:val="Heading2"/>
        <w:spacing w:after="80" w:before="280"/>
      </w:pPr>
      <w:r>
        <w:rPr>
          <w:rFonts w:ascii="Arial" w:cs="Arial" w:eastAsia="Arial" w:hAnsi="Arial"/>
          <w:b/>
          <w:bCs/>
          <w:color w:val="1B2A4A"/>
          <w:sz w:val="24"/>
          <w:szCs w:val="24"/>
        </w:rPr>
        <w:t xml:space="preserve">3.5 Fraud and Deceptive Practices</w:t>
      </w:r>
    </w:p>
    <w:p>
      <w:pPr>
        <w:spacing w:after="100" w:before="60"/>
        <w:jc w:val="left"/>
      </w:pPr>
      <w:r>
        <w:rPr>
          <w:rFonts w:ascii="Arial" w:cs="Arial" w:eastAsia="Arial" w:hAnsi="Arial"/>
          <w:i w:val="false"/>
          <w:iCs w:val="false"/>
          <w:color w:val="000000"/>
          <w:sz w:val="20"/>
          <w:szCs w:val="20"/>
        </w:rPr>
        <w:t xml:space="preserve">Users and Providers must not engage in:</w:t>
      </w:r>
    </w:p>
    <w:p>
      <w:pPr>
        <w:pStyle w:val="ListParagraph"/>
        <w:numPr>
          <w:ilvl w:val="0"/>
          <w:numId w:val="6"/>
        </w:numPr>
        <w:spacing w:after="40" w:before="40"/>
      </w:pPr>
      <w:r>
        <w:rPr>
          <w:rFonts w:ascii="Arial" w:cs="Arial" w:eastAsia="Arial" w:hAnsi="Arial"/>
          <w:sz w:val="20"/>
          <w:szCs w:val="20"/>
        </w:rPr>
        <w:t xml:space="preserve">Fabrication or misrepresentation of credentials, licenses, or capabilities;</w:t>
      </w:r>
    </w:p>
    <w:p>
      <w:pPr>
        <w:pStyle w:val="ListParagraph"/>
        <w:numPr>
          <w:ilvl w:val="0"/>
          <w:numId w:val="6"/>
        </w:numPr>
        <w:spacing w:after="40" w:before="40"/>
      </w:pPr>
      <w:r>
        <w:rPr>
          <w:rFonts w:ascii="Arial" w:cs="Arial" w:eastAsia="Arial" w:hAnsi="Arial"/>
          <w:sz w:val="20"/>
          <w:szCs w:val="20"/>
        </w:rPr>
        <w:t xml:space="preserve">Creation or distribution of intentionally false or misleading information likely to cause financial, physical, or reputational harm;</w:t>
      </w:r>
    </w:p>
    <w:p>
      <w:pPr>
        <w:pStyle w:val="ListParagraph"/>
        <w:numPr>
          <w:ilvl w:val="0"/>
          <w:numId w:val="6"/>
        </w:numPr>
        <w:spacing w:after="40" w:before="40"/>
      </w:pPr>
      <w:r>
        <w:rPr>
          <w:rFonts w:ascii="Arial" w:cs="Arial" w:eastAsia="Arial" w:hAnsi="Arial"/>
          <w:sz w:val="20"/>
          <w:szCs w:val="20"/>
        </w:rPr>
        <w:t xml:space="preserve">Phishing, social engineering, or other deceptive practices targeting Platform users or third parties;</w:t>
      </w:r>
    </w:p>
    <w:p>
      <w:pPr>
        <w:pStyle w:val="ListParagraph"/>
        <w:numPr>
          <w:ilvl w:val="0"/>
          <w:numId w:val="6"/>
        </w:numPr>
        <w:spacing w:after="40" w:before="40"/>
      </w:pPr>
      <w:r>
        <w:rPr>
          <w:rFonts w:ascii="Arial" w:cs="Arial" w:eastAsia="Arial" w:hAnsi="Arial"/>
          <w:sz w:val="20"/>
          <w:szCs w:val="20"/>
        </w:rPr>
        <w:t xml:space="preserve">Sybil attacks, fake reviews, or manipulation of Platform routing, ratings, or metrics.</w:t>
      </w:r>
    </w:p>
    <w:p>
      <w:pPr>
        <w:pStyle w:val="Heading2"/>
        <w:spacing w:after="80" w:before="280"/>
      </w:pPr>
      <w:r>
        <w:rPr>
          <w:rFonts w:ascii="Arial" w:cs="Arial" w:eastAsia="Arial" w:hAnsi="Arial"/>
          <w:b/>
          <w:bCs/>
          <w:color w:val="1B2A4A"/>
          <w:sz w:val="24"/>
          <w:szCs w:val="24"/>
        </w:rPr>
        <w:t xml:space="preserve">3.6 Platform Integrity</w:t>
      </w:r>
    </w:p>
    <w:p>
      <w:pPr>
        <w:spacing w:after="100" w:before="60"/>
        <w:jc w:val="left"/>
      </w:pPr>
      <w:r>
        <w:rPr>
          <w:rFonts w:ascii="Arial" w:cs="Arial" w:eastAsia="Arial" w:hAnsi="Arial"/>
          <w:i w:val="false"/>
          <w:iCs w:val="false"/>
          <w:color w:val="000000"/>
          <w:sz w:val="20"/>
          <w:szCs w:val="20"/>
        </w:rPr>
        <w:t xml:space="preserve">Users and Providers must not:</w:t>
      </w:r>
    </w:p>
    <w:p>
      <w:pPr>
        <w:pStyle w:val="ListParagraph"/>
        <w:numPr>
          <w:ilvl w:val="0"/>
          <w:numId w:val="7"/>
        </w:numPr>
        <w:spacing w:after="40" w:before="40"/>
      </w:pPr>
      <w:r>
        <w:rPr>
          <w:rFonts w:ascii="Arial" w:cs="Arial" w:eastAsia="Arial" w:hAnsi="Arial"/>
          <w:sz w:val="20"/>
          <w:szCs w:val="20"/>
        </w:rPr>
        <w:t xml:space="preserve">Attempt to circumvent payment systems, access controls, or rate limits;</w:t>
      </w:r>
    </w:p>
    <w:p>
      <w:pPr>
        <w:pStyle w:val="ListParagraph"/>
        <w:numPr>
          <w:ilvl w:val="0"/>
          <w:numId w:val="7"/>
        </w:numPr>
        <w:spacing w:after="40" w:before="40"/>
      </w:pPr>
      <w:r>
        <w:rPr>
          <w:rFonts w:ascii="Arial" w:cs="Arial" w:eastAsia="Arial" w:hAnsi="Arial"/>
          <w:sz w:val="20"/>
          <w:szCs w:val="20"/>
        </w:rPr>
        <w:t xml:space="preserve">Reverse engineer, decompile, or probe the Platform infrastructure for vulnerabilities without the Company's express written authorization;</w:t>
      </w:r>
    </w:p>
    <w:p>
      <w:pPr>
        <w:pStyle w:val="ListParagraph"/>
        <w:numPr>
          <w:ilvl w:val="0"/>
          <w:numId w:val="7"/>
        </w:numPr>
        <w:spacing w:after="40" w:before="40"/>
      </w:pPr>
      <w:r>
        <w:rPr>
          <w:rFonts w:ascii="Arial" w:cs="Arial" w:eastAsia="Arial" w:hAnsi="Arial"/>
          <w:sz w:val="20"/>
          <w:szCs w:val="20"/>
        </w:rPr>
        <w:t xml:space="preserve">Introduce malware, worms, viruses, or other malicious code into the Platform;</w:t>
      </w:r>
    </w:p>
    <w:p>
      <w:pPr>
        <w:pStyle w:val="ListParagraph"/>
        <w:numPr>
          <w:ilvl w:val="0"/>
          <w:numId w:val="7"/>
        </w:numPr>
        <w:spacing w:after="40" w:before="40"/>
      </w:pPr>
      <w:r>
        <w:rPr>
          <w:rFonts w:ascii="Arial" w:cs="Arial" w:eastAsia="Arial" w:hAnsi="Arial"/>
          <w:sz w:val="20"/>
          <w:szCs w:val="20"/>
        </w:rPr>
        <w:t xml:space="preserve">Use the Platform for denial-of-service attacks or other disruptive conduct;</w:t>
      </w:r>
    </w:p>
    <w:p>
      <w:pPr>
        <w:pStyle w:val="ListParagraph"/>
        <w:numPr>
          <w:ilvl w:val="0"/>
          <w:numId w:val="7"/>
        </w:numPr>
        <w:spacing w:after="40" w:before="40"/>
      </w:pPr>
      <w:r>
        <w:rPr>
          <w:rFonts w:ascii="Arial" w:cs="Arial" w:eastAsia="Arial" w:hAnsi="Arial"/>
          <w:sz w:val="20"/>
          <w:szCs w:val="20"/>
        </w:rPr>
        <w:t xml:space="preserve">Scrape, harvest, or bulk-download Platform data without authorization.</w:t>
      </w:r>
    </w:p>
    <w:p>
      <w:pPr>
        <w:pStyle w:val="Heading2"/>
        <w:spacing w:after="80" w:before="280"/>
      </w:pPr>
      <w:r>
        <w:rPr>
          <w:rFonts w:ascii="Arial" w:cs="Arial" w:eastAsia="Arial" w:hAnsi="Arial"/>
          <w:b/>
          <w:bCs/>
          <w:color w:val="1B2A4A"/>
          <w:sz w:val="24"/>
          <w:szCs w:val="24"/>
        </w:rPr>
        <w:t xml:space="preserve">3.7 Harassment and Abuse</w:t>
      </w:r>
    </w:p>
    <w:p>
      <w:pPr>
        <w:spacing w:after="100" w:before="60"/>
        <w:jc w:val="left"/>
      </w:pPr>
      <w:r>
        <w:rPr>
          <w:rFonts w:ascii="Arial" w:cs="Arial" w:eastAsia="Arial" w:hAnsi="Arial"/>
          <w:i w:val="false"/>
          <w:iCs w:val="false"/>
          <w:color w:val="000000"/>
          <w:sz w:val="20"/>
          <w:szCs w:val="20"/>
        </w:rPr>
        <w:t xml:space="preserve">Users and Providers must not use the Platform to harass, threaten, stalk, defame, or unlawfully discriminate against any individual or group.</w:t>
      </w:r>
    </w:p>
    <w:p>
      <w:pPr>
        <w:pStyle w:val="Heading1"/>
        <w:pBdr>
          <w:bottom w:val="single" w:color="2563EB" w:sz="4" w:space="6"/>
        </w:pBdr>
        <w:spacing w:after="120" w:before="360"/>
      </w:pPr>
      <w:r>
        <w:rPr>
          <w:rFonts w:ascii="Arial" w:cs="Arial" w:eastAsia="Arial" w:hAnsi="Arial"/>
          <w:b/>
          <w:bCs/>
          <w:color w:val="1B2A4A"/>
          <w:sz w:val="28"/>
          <w:szCs w:val="28"/>
        </w:rPr>
        <w:t xml:space="preserve">4. Sensitive Content Categories — Required Disclosures</w:t>
      </w:r>
    </w:p>
    <w:p>
      <w:pPr>
        <w:spacing w:after="100" w:before="60"/>
        <w:jc w:val="left"/>
      </w:pPr>
      <w:r>
        <w:rPr>
          <w:rFonts w:ascii="Arial" w:cs="Arial" w:eastAsia="Arial" w:hAnsi="Arial"/>
          <w:i w:val="false"/>
          <w:iCs w:val="false"/>
          <w:color w:val="000000"/>
          <w:sz w:val="20"/>
          <w:szCs w:val="20"/>
        </w:rPr>
        <w:t xml:space="preserve">Providers delivering content in the following categories must include the specified disclaimer language verbatim in all applicable outputs:</w:t>
      </w:r>
    </w:p>
    <w:p>
      <w:pPr>
        <w:pStyle w:val="Heading2"/>
        <w:spacing w:after="80" w:before="280"/>
      </w:pPr>
      <w:r>
        <w:rPr>
          <w:rFonts w:ascii="Arial" w:cs="Arial" w:eastAsia="Arial" w:hAnsi="Arial"/>
          <w:b/>
          <w:bCs/>
          <w:color w:val="1B2A4A"/>
          <w:sz w:val="24"/>
          <w:szCs w:val="24"/>
        </w:rPr>
        <w:t xml:space="preserve">4.1 Investment and Financial Content</w:t>
      </w:r>
    </w:p>
    <w:p>
      <w:pPr>
        <w:spacing w:after="100" w:before="60"/>
        <w:jc w:val="left"/>
      </w:pPr>
      <w:r>
        <w:rPr>
          <w:rFonts w:ascii="Arial" w:cs="Arial" w:eastAsia="Arial" w:hAnsi="Arial"/>
          <w:i w:val="false"/>
          <w:iCs w:val="false"/>
          <w:color w:val="000000"/>
          <w:sz w:val="20"/>
          <w:szCs w:val="20"/>
        </w:rPr>
        <w:t xml:space="preserve">Category tags: investment, trading, signals, crypto, finance, portfolio, market analysis.</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financial or investment advice. Signal criteria are disclosed by providers for reference only; users act at their own discretion and risk. Consult a licensed financial adviser regarding your particular circumstances. Proteeninjector, LLC is not a registered investment adviser or broker-dealer.</w:t>
      </w:r>
    </w:p>
    <w:p>
      <w:pPr>
        <w:pStyle w:val="Heading2"/>
        <w:spacing w:after="80" w:before="280"/>
      </w:pPr>
      <w:r>
        <w:rPr>
          <w:rFonts w:ascii="Arial" w:cs="Arial" w:eastAsia="Arial" w:hAnsi="Arial"/>
          <w:b/>
          <w:bCs/>
          <w:color w:val="1B2A4A"/>
          <w:sz w:val="24"/>
          <w:szCs w:val="24"/>
        </w:rPr>
        <w:t xml:space="preserve">4.2 Legal Content</w:t>
      </w:r>
    </w:p>
    <w:p>
      <w:pPr>
        <w:spacing w:after="100" w:before="60"/>
        <w:jc w:val="left"/>
      </w:pPr>
      <w:r>
        <w:rPr>
          <w:rFonts w:ascii="Arial" w:cs="Arial" w:eastAsia="Arial" w:hAnsi="Arial"/>
          <w:i w:val="false"/>
          <w:iCs w:val="false"/>
          <w:color w:val="000000"/>
          <w:sz w:val="20"/>
          <w:szCs w:val="20"/>
        </w:rPr>
        <w:t xml:space="preserve">Category tags: legal, law, contract, compliance, regulatory, court.</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legal advice. No attorney-client relationship is created. Laws vary by jurisdiction. Consult a licensed attorney regarding your particular legal situation. Proteeninjector, LLC is not a law firm and does not provide legal services.</w:t>
      </w:r>
    </w:p>
    <w:p>
      <w:pPr>
        <w:pStyle w:val="Heading2"/>
        <w:spacing w:after="80" w:before="280"/>
      </w:pPr>
      <w:r>
        <w:rPr>
          <w:rFonts w:ascii="Arial" w:cs="Arial" w:eastAsia="Arial" w:hAnsi="Arial"/>
          <w:b/>
          <w:bCs/>
          <w:color w:val="1B2A4A"/>
          <w:sz w:val="24"/>
          <w:szCs w:val="24"/>
        </w:rPr>
        <w:t xml:space="preserve">4.3 Medical and Health Content</w:t>
      </w:r>
    </w:p>
    <w:p>
      <w:pPr>
        <w:spacing w:after="100" w:before="60"/>
        <w:jc w:val="left"/>
      </w:pPr>
      <w:r>
        <w:rPr>
          <w:rFonts w:ascii="Arial" w:cs="Arial" w:eastAsia="Arial" w:hAnsi="Arial"/>
          <w:i w:val="false"/>
          <w:iCs w:val="false"/>
          <w:color w:val="000000"/>
          <w:sz w:val="20"/>
          <w:szCs w:val="20"/>
        </w:rPr>
        <w:t xml:space="preserve">Category tags: medical, health, clinical, diagnosis, treatment, wellness, mental health.</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medical advice, diagnosis, or treatment. Always seek the advice of a licensed healthcare provider regarding any medical condition. Never disregard professional medical advice based on information obtained here. In an emergency, call 911. Proteeninjector, LLC is not a healthcare provider.</w:t>
      </w:r>
    </w:p>
    <w:p>
      <w:pPr>
        <w:pStyle w:val="Heading2"/>
        <w:spacing w:after="80" w:before="280"/>
      </w:pPr>
      <w:r>
        <w:rPr>
          <w:rFonts w:ascii="Arial" w:cs="Arial" w:eastAsia="Arial" w:hAnsi="Arial"/>
          <w:b/>
          <w:bCs/>
          <w:color w:val="1B2A4A"/>
          <w:sz w:val="24"/>
          <w:szCs w:val="24"/>
        </w:rPr>
        <w:t xml:space="preserve">4.4 All Content</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Proteeninjector, LLC makes no representations or warranties regarding the accuracy or reliability of any marketplace output. All information is provided by independent third-party providers on an as-is basis. Provider credentials are self-reported and not verified. Users assume full responsibility for any decisions made in reliance on information obtained through the marketplace.</w:t>
      </w:r>
    </w:p>
    <w:p>
      <w:pPr>
        <w:pStyle w:val="Heading1"/>
        <w:pBdr>
          <w:bottom w:val="single" w:color="2563EB" w:sz="4" w:space="6"/>
        </w:pBdr>
        <w:spacing w:after="120" w:before="360"/>
      </w:pPr>
      <w:r>
        <w:rPr>
          <w:rFonts w:ascii="Arial" w:cs="Arial" w:eastAsia="Arial" w:hAnsi="Arial"/>
          <w:b/>
          <w:bCs/>
          <w:color w:val="1B2A4A"/>
          <w:sz w:val="28"/>
          <w:szCs w:val="28"/>
        </w:rPr>
        <w:t xml:space="preserve">5. Enforcement</w:t>
      </w:r>
    </w:p>
    <w:p>
      <w:pPr>
        <w:pStyle w:val="Heading2"/>
        <w:spacing w:after="80" w:before="280"/>
      </w:pPr>
      <w:r>
        <w:rPr>
          <w:rFonts w:ascii="Arial" w:cs="Arial" w:eastAsia="Arial" w:hAnsi="Arial"/>
          <w:b/>
          <w:bCs/>
          <w:color w:val="1B2A4A"/>
          <w:sz w:val="24"/>
          <w:szCs w:val="24"/>
        </w:rPr>
        <w:t xml:space="preserve">5.1 Reporting Violations</w:t>
      </w:r>
    </w:p>
    <w:p>
      <w:pPr>
        <w:spacing w:after="100" w:before="60"/>
        <w:jc w:val="left"/>
      </w:pPr>
      <w:r>
        <w:rPr>
          <w:rFonts w:ascii="Arial" w:cs="Arial" w:eastAsia="Arial" w:hAnsi="Arial"/>
          <w:i w:val="false"/>
          <w:iCs w:val="false"/>
          <w:color w:val="000000"/>
          <w:sz w:val="20"/>
          <w:szCs w:val="20"/>
        </w:rPr>
        <w:t xml:space="preserve">Users may report suspected AUP violations to: legal@proteeninjector.com. Reports should include the transaction identifier, a description of the alleged violation, and any supporting evidence.</w:t>
      </w:r>
    </w:p>
    <w:p>
      <w:pPr>
        <w:pStyle w:val="Heading2"/>
        <w:spacing w:after="80" w:before="280"/>
      </w:pPr>
      <w:r>
        <w:rPr>
          <w:rFonts w:ascii="Arial" w:cs="Arial" w:eastAsia="Arial" w:hAnsi="Arial"/>
          <w:b/>
          <w:bCs/>
          <w:color w:val="1B2A4A"/>
          <w:sz w:val="24"/>
          <w:szCs w:val="24"/>
        </w:rPr>
        <w:t xml:space="preserve">5.2 Investigation</w:t>
      </w:r>
    </w:p>
    <w:p>
      <w:pPr>
        <w:spacing w:after="100" w:before="60"/>
        <w:jc w:val="left"/>
      </w:pPr>
      <w:r>
        <w:rPr>
          <w:rFonts w:ascii="Arial" w:cs="Arial" w:eastAsia="Arial" w:hAnsi="Arial"/>
          <w:i w:val="false"/>
          <w:iCs w:val="false"/>
          <w:color w:val="000000"/>
          <w:sz w:val="20"/>
          <w:szCs w:val="20"/>
        </w:rPr>
        <w:t xml:space="preserve">The Company will investigate credible reports of AUP violations. During an investigation, the Company may temporarily suspend a Provider's or User's access pending resolution. The Company is not obligated to disclose investigation details or outcomes to third parties.</w:t>
      </w:r>
    </w:p>
    <w:p>
      <w:pPr>
        <w:pStyle w:val="Heading2"/>
        <w:spacing w:after="80" w:before="280"/>
      </w:pPr>
      <w:r>
        <w:rPr>
          <w:rFonts w:ascii="Arial" w:cs="Arial" w:eastAsia="Arial" w:hAnsi="Arial"/>
          <w:b/>
          <w:bCs/>
          <w:color w:val="1B2A4A"/>
          <w:sz w:val="24"/>
          <w:szCs w:val="24"/>
        </w:rPr>
        <w:t xml:space="preserve">5.3 Enforcement Actions</w:t>
      </w:r>
    </w:p>
    <w:p>
      <w:pPr>
        <w:spacing w:after="100" w:before="60"/>
        <w:jc w:val="left"/>
      </w:pPr>
      <w:r>
        <w:rPr>
          <w:rFonts w:ascii="Arial" w:cs="Arial" w:eastAsia="Arial" w:hAnsi="Arial"/>
          <w:i w:val="false"/>
          <w:iCs w:val="false"/>
          <w:color w:val="000000"/>
          <w:sz w:val="20"/>
          <w:szCs w:val="20"/>
        </w:rPr>
        <w:t xml:space="preserve">Upon a finding of AUP violation, the Company may take any of the following actions, singly or in combination:</w:t>
      </w:r>
    </w:p>
    <w:p>
      <w:pPr>
        <w:pStyle w:val="ListParagraph"/>
        <w:numPr>
          <w:ilvl w:val="0"/>
          <w:numId w:val="8"/>
        </w:numPr>
        <w:spacing w:after="40" w:before="40"/>
      </w:pPr>
      <w:r>
        <w:rPr>
          <w:rFonts w:ascii="Arial" w:cs="Arial" w:eastAsia="Arial" w:hAnsi="Arial"/>
          <w:sz w:val="20"/>
          <w:szCs w:val="20"/>
        </w:rPr>
        <w:t xml:space="preserve">Issuance of a formal warning;</w:t>
      </w:r>
    </w:p>
    <w:p>
      <w:pPr>
        <w:pStyle w:val="ListParagraph"/>
        <w:numPr>
          <w:ilvl w:val="0"/>
          <w:numId w:val="8"/>
        </w:numPr>
        <w:spacing w:after="40" w:before="40"/>
      </w:pPr>
      <w:r>
        <w:rPr>
          <w:rFonts w:ascii="Arial" w:cs="Arial" w:eastAsia="Arial" w:hAnsi="Arial"/>
          <w:sz w:val="20"/>
          <w:szCs w:val="20"/>
        </w:rPr>
        <w:t xml:space="preserve">Temporary suspension of Platform access;</w:t>
      </w:r>
    </w:p>
    <w:p>
      <w:pPr>
        <w:pStyle w:val="ListParagraph"/>
        <w:numPr>
          <w:ilvl w:val="0"/>
          <w:numId w:val="8"/>
        </w:numPr>
        <w:spacing w:after="40" w:before="40"/>
      </w:pPr>
      <w:r>
        <w:rPr>
          <w:rFonts w:ascii="Arial" w:cs="Arial" w:eastAsia="Arial" w:hAnsi="Arial"/>
          <w:sz w:val="20"/>
          <w:szCs w:val="20"/>
        </w:rPr>
        <w:t xml:space="preserve">Permanent removal from the Platform;</w:t>
      </w:r>
    </w:p>
    <w:p>
      <w:pPr>
        <w:pStyle w:val="ListParagraph"/>
        <w:numPr>
          <w:ilvl w:val="0"/>
          <w:numId w:val="8"/>
        </w:numPr>
        <w:spacing w:after="40" w:before="40"/>
      </w:pPr>
      <w:r>
        <w:rPr>
          <w:rFonts w:ascii="Arial" w:cs="Arial" w:eastAsia="Arial" w:hAnsi="Arial"/>
          <w:sz w:val="20"/>
          <w:szCs w:val="20"/>
        </w:rPr>
        <w:t xml:space="preserve">Forfeiture of registration stake;</w:t>
      </w:r>
    </w:p>
    <w:p>
      <w:pPr>
        <w:pStyle w:val="ListParagraph"/>
        <w:numPr>
          <w:ilvl w:val="0"/>
          <w:numId w:val="8"/>
        </w:numPr>
        <w:spacing w:after="40" w:before="40"/>
      </w:pPr>
      <w:r>
        <w:rPr>
          <w:rFonts w:ascii="Arial" w:cs="Arial" w:eastAsia="Arial" w:hAnsi="Arial"/>
          <w:sz w:val="20"/>
          <w:szCs w:val="20"/>
        </w:rPr>
        <w:t xml:space="preserve">Clawback of fees pursuant to the Provider Agreement;</w:t>
      </w:r>
    </w:p>
    <w:p>
      <w:pPr>
        <w:pStyle w:val="ListParagraph"/>
        <w:numPr>
          <w:ilvl w:val="0"/>
          <w:numId w:val="8"/>
        </w:numPr>
        <w:spacing w:after="40" w:before="40"/>
      </w:pPr>
      <w:r>
        <w:rPr>
          <w:rFonts w:ascii="Arial" w:cs="Arial" w:eastAsia="Arial" w:hAnsi="Arial"/>
          <w:sz w:val="20"/>
          <w:szCs w:val="20"/>
        </w:rPr>
        <w:t xml:space="preserve">Referral to law enforcement or regulatory authorities.</w:t>
      </w:r>
    </w:p>
    <w:p>
      <w:pPr>
        <w:pStyle w:val="Heading2"/>
        <w:spacing w:after="80" w:before="280"/>
      </w:pPr>
      <w:r>
        <w:rPr>
          <w:rFonts w:ascii="Arial" w:cs="Arial" w:eastAsia="Arial" w:hAnsi="Arial"/>
          <w:b/>
          <w:bCs/>
          <w:color w:val="1B2A4A"/>
          <w:sz w:val="24"/>
          <w:szCs w:val="24"/>
        </w:rPr>
        <w:t xml:space="preserve">5.4 No Duty to Monitor</w:t>
      </w:r>
    </w:p>
    <w:p>
      <w:pPr>
        <w:spacing w:after="100" w:before="60"/>
        <w:jc w:val="left"/>
      </w:pPr>
      <w:r>
        <w:rPr>
          <w:rFonts w:ascii="Arial" w:cs="Arial" w:eastAsia="Arial" w:hAnsi="Arial"/>
          <w:i w:val="false"/>
          <w:iCs w:val="false"/>
          <w:color w:val="000000"/>
          <w:sz w:val="20"/>
          <w:szCs w:val="20"/>
        </w:rPr>
        <w:t xml:space="preserve">The Company does not undertake a general obligation to monitor all content transmitted through the Platform. This AUP does not create any duty on the Company's part to proactively screen outputs prior to delivery. The Company relies on its content-neutral routing mechanisms and responds to reported violations as described herein.</w:t>
      </w:r>
    </w:p>
    <w:p>
      <w:pPr>
        <w:spacing w:after="100" w:before="60"/>
        <w:jc w:val="left"/>
      </w:pPr>
      <w:r>
        <w:rPr>
          <w:rFonts w:ascii="Arial" w:cs="Arial" w:eastAsia="Arial" w:hAnsi="Arial"/>
          <w:i w:val="false"/>
          <w:iCs w:val="false"/>
          <w:color w:val="000000"/>
          <w:sz w:val="20"/>
          <w:szCs w:val="20"/>
        </w:rPr>
        <w:t xml:space="preserve">Nothing in this Section 5.4 limits the Company's right to take enforcement action upon discovery of a violation.</w:t>
      </w:r>
    </w:p>
    <w:p>
      <w:pPr>
        <w:pStyle w:val="Heading1"/>
        <w:pBdr>
          <w:bottom w:val="single" w:color="2563EB" w:sz="4" w:space="6"/>
        </w:pBdr>
        <w:spacing w:after="120" w:before="360"/>
      </w:pPr>
      <w:r>
        <w:rPr>
          <w:rFonts w:ascii="Arial" w:cs="Arial" w:eastAsia="Arial" w:hAnsi="Arial"/>
          <w:b/>
          <w:bCs/>
          <w:color w:val="1B2A4A"/>
          <w:sz w:val="28"/>
          <w:szCs w:val="28"/>
        </w:rPr>
        <w:t xml:space="preserve">6. Section 230 Notice</w:t>
      </w:r>
    </w:p>
    <w:p>
      <w:pPr>
        <w:spacing w:after="100" w:before="60"/>
        <w:jc w:val="left"/>
      </w:pPr>
      <w:r>
        <w:rPr>
          <w:rFonts w:ascii="Arial" w:cs="Arial" w:eastAsia="Arial" w:hAnsi="Arial"/>
          <w:i w:val="false"/>
          <w:iCs w:val="false"/>
          <w:color w:val="000000"/>
          <w:sz w:val="20"/>
          <w:szCs w:val="20"/>
        </w:rPr>
        <w:t xml:space="preserve">The Company operates the Platform as a content-neutral marketplace and routes transactions based solely on objective technical criteria. The Company does not select, endorse, edit, or exercise editorial control over Provider outputs. This operational structure is designed to preserve protection under Section 230 of the Communications Decency Act (47 U.S.C. § 230).</w:t>
      </w:r>
    </w:p>
    <w:p>
      <w:pPr>
        <w:spacing w:after="100" w:before="60"/>
        <w:jc w:val="left"/>
      </w:pPr>
      <w:r>
        <w:rPr>
          <w:rFonts w:ascii="Arial" w:cs="Arial" w:eastAsia="Arial" w:hAnsi="Arial"/>
          <w:i w:val="false"/>
          <w:iCs w:val="false"/>
          <w:color w:val="000000"/>
          <w:sz w:val="20"/>
          <w:szCs w:val="20"/>
        </w:rPr>
        <w:t xml:space="preserve">Nothing in this AUP constitutes the Company acting as a creator or developer of Provider content within the meaning of Section 230.</w:t>
      </w:r>
    </w:p>
    <w:p>
      <w:pPr>
        <w:pStyle w:val="Heading1"/>
        <w:pBdr>
          <w:bottom w:val="single" w:color="2563EB" w:sz="4" w:space="6"/>
        </w:pBdr>
        <w:spacing w:after="120" w:before="360"/>
      </w:pPr>
      <w:r>
        <w:rPr>
          <w:rFonts w:ascii="Arial" w:cs="Arial" w:eastAsia="Arial" w:hAnsi="Arial"/>
          <w:b/>
          <w:bCs/>
          <w:color w:val="1B2A4A"/>
          <w:sz w:val="28"/>
          <w:szCs w:val="28"/>
        </w:rPr>
        <w:t xml:space="preserve">7. Updates to This Policy</w:t>
      </w:r>
    </w:p>
    <w:p>
      <w:pPr>
        <w:spacing w:after="100" w:before="60"/>
        <w:jc w:val="left"/>
      </w:pPr>
      <w:r>
        <w:rPr>
          <w:rFonts w:ascii="Arial" w:cs="Arial" w:eastAsia="Arial" w:hAnsi="Arial"/>
          <w:i w:val="false"/>
          <w:iCs w:val="false"/>
          <w:color w:val="000000"/>
          <w:sz w:val="20"/>
          <w:szCs w:val="20"/>
        </w:rPr>
        <w:t xml:space="preserve">The Company may update this AUP at any time. Material changes will be posted to the Platform with an updated effective date. Continued use of the Platform after the effective date of any revision constitutes acceptance of the revised AUP.</w:t>
      </w:r>
    </w:p>
    <w:p>
      <w:pPr>
        <w:pStyle w:val="Heading1"/>
        <w:pBdr>
          <w:bottom w:val="single" w:color="2563EB" w:sz="4" w:space="6"/>
        </w:pBdr>
        <w:spacing w:after="120" w:before="360"/>
      </w:pPr>
      <w:r>
        <w:rPr>
          <w:rFonts w:ascii="Arial" w:cs="Arial" w:eastAsia="Arial" w:hAnsi="Arial"/>
          <w:b/>
          <w:bCs/>
          <w:color w:val="1B2A4A"/>
          <w:sz w:val="28"/>
          <w:szCs w:val="28"/>
        </w:rPr>
        <w:t xml:space="preserve">8. Contact</w:t>
      </w:r>
    </w:p>
    <w:p>
      <w:pPr>
        <w:spacing w:after="100" w:before="60"/>
        <w:jc w:val="left"/>
      </w:pPr>
      <w:r>
        <w:rPr>
          <w:rFonts w:ascii="Arial" w:cs="Arial" w:eastAsia="Arial" w:hAnsi="Arial"/>
          <w:i w:val="false"/>
          <w:iCs w:val="false"/>
          <w:color w:val="000000"/>
          <w:sz w:val="20"/>
          <w:szCs w:val="20"/>
        </w:rPr>
        <w:t xml:space="preserve">For questions about this Acceptable Use Policy or to report a violation:</w:t>
      </w:r>
    </w:p>
    <w:p>
      <w:pPr>
        <w:spacing w:after="100" w:before="60"/>
      </w:pPr>
      <w:r>
        <w:rPr>
          <w:rFonts w:ascii="Arial" w:cs="Arial" w:eastAsia="Arial" w:hAnsi="Arial"/>
          <w:b/>
          <w:bCs/>
          <w:sz w:val="20"/>
          <w:szCs w:val="20"/>
        </w:rPr>
        <w:t xml:space="preserve">Proteeninjector, LLC — Compliance</w:t>
      </w:r>
    </w:p>
    <w:p>
      <w:pPr>
        <w:spacing w:after="100" w:before="60"/>
        <w:jc w:val="left"/>
      </w:pPr>
      <w:r>
        <w:rPr>
          <w:rFonts w:ascii="Arial" w:cs="Arial" w:eastAsia="Arial" w:hAnsi="Arial"/>
          <w:i w:val="false"/>
          <w:iCs w:val="false"/>
          <w:color w:val="000000"/>
          <w:sz w:val="20"/>
          <w:szCs w:val="20"/>
        </w:rPr>
        <w:t xml:space="preserve">Email: legal@proteeninjector.com</w:t>
      </w:r>
    </w:p>
    <w:p>
      <w:pPr>
        <w:spacing w:after="100" w:before="60"/>
        <w:jc w:val="left"/>
      </w:pPr>
      <w:r>
        <w:rPr>
          <w:rFonts w:ascii="Arial" w:cs="Arial" w:eastAsia="Arial" w:hAnsi="Arial"/>
          <w:i w:val="false"/>
          <w:iCs w:val="false"/>
          <w:color w:val="000000"/>
          <w:sz w:val="20"/>
          <w:szCs w:val="20"/>
        </w:rPr>
        <w:t xml:space="preserve">Platform: happythoughts.proteeninjector.workers.dev</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spacing w:before="80"/>
    </w:pPr>
    <w:r>
      <w:rPr>
        <w:rFonts w:ascii="Arial" w:cs="Arial" w:eastAsia="Arial" w:hAnsi="Arial"/>
        <w:color w:val="4B5563"/>
        <w:sz w:val="16"/>
        <w:szCs w:val="16"/>
      </w:rPr>
      <w:t xml:space="preserve">Proteeninjector, LLC — Acceptable Use Policy</w:t>
    </w:r>
    <w:r>
      <w:rPr>
        <w:rFonts w:ascii="Arial" w:cs="Arial" w:eastAsia="Arial" w:hAnsi="Arial"/>
        <w:color w:val="4B5563"/>
        <w:sz w:val="16"/>
        <w:szCs w:val="16"/>
      </w:rPr>
      <w:t xml:space="preserve">	Page </w:t>
    </w:r>
    <w:fldSimple w:instr="PAGE">
      <w:r>
        <w:rPr>
          <w:rFonts w:ascii="Arial" w:cs="Arial" w:eastAsia="Arial" w:hAnsi="Arial"/>
          <w:color w:val="4B5563"/>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2026-03-22T03:07:05.397Z</dcterms:created>
  <dcterms:modified xsi:type="dcterms:W3CDTF">2026-03-22T03:07:05.397Z</dcterms:modified>
</cp:coreProperties>
</file>

<file path=docProps/custom.xml><?xml version="1.0" encoding="utf-8"?>
<Properties xmlns="http://schemas.openxmlformats.org/officeDocument/2006/custom-properties" xmlns:vt="http://schemas.openxmlformats.org/officeDocument/2006/docPropsVTypes"/>
</file>