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80" w:before="0"/>
        <w:jc w:val="center"/>
      </w:pPr>
      <w:r>
        <w:rPr>
          <w:rFonts w:ascii="Arial" w:cs="Arial" w:eastAsia="Arial" w:hAnsi="Arial"/>
          <w:b/>
          <w:bCs/>
          <w:caps/>
          <w:color w:val="4B5563"/>
          <w:sz w:val="20"/>
          <w:szCs w:val="20"/>
        </w:rPr>
        <w:t xml:space="preserve">PROTEENINJECTOR, LLC</w:t>
      </w:r>
    </w:p>
    <w:p>
      <w:pPr>
        <w:spacing w:after="40" w:before="0"/>
        <w:jc w:val="center"/>
      </w:pPr>
      <w:r>
        <w:rPr>
          <w:rFonts w:ascii="Arial" w:cs="Arial" w:eastAsia="Arial" w:hAnsi="Arial"/>
          <w:color w:val="4B5563"/>
          <w:sz w:val="18"/>
          <w:szCs w:val="18"/>
        </w:rPr>
        <w:t xml:space="preserve">Happy Thoughts Marketplace</w:t>
      </w:r>
    </w:p>
    <w:p>
      <w:pPr>
        <w:pBdr>
          <w:top w:val="single" w:color="2563EB" w:sz="6" w:space="8"/>
          <w:bottom w:val="single" w:color="2563EB" w:sz="6" w:space="8"/>
        </w:pBdr>
        <w:spacing w:after="80" w:before="240"/>
        <w:jc w:val="center"/>
      </w:pPr>
      <w:r>
        <w:rPr>
          <w:rFonts w:ascii="Arial" w:cs="Arial" w:eastAsia="Arial" w:hAnsi="Arial"/>
          <w:b/>
          <w:bCs/>
          <w:color w:val="1B2A4A"/>
          <w:sz w:val="40"/>
          <w:szCs w:val="40"/>
        </w:rPr>
        <w:t xml:space="preserve">Privacy Policy</w:t>
      </w:r>
    </w:p>
    <w:p>
      <w:pPr>
        <w:spacing w:after="0" w:before="80"/>
        <w:jc w:val="center"/>
      </w:pPr>
      <w:r>
        <w:rPr>
          <w:rFonts w:ascii="Arial" w:cs="Arial" w:eastAsia="Arial" w:hAnsi="Arial"/>
          <w:i/>
          <w:iCs/>
          <w:color w:val="4B5563"/>
          <w:sz w:val="22"/>
          <w:szCs w:val="22"/>
        </w:rPr>
        <w:t xml:space="preserve">GDPR and CCPA Compliant — Happy Thoughts AI Marketplace</w:t>
      </w:r>
    </w:p>
    <w:p>
      <w:pPr>
        <w:spacing w:after="0" w:before="300"/>
        <w:jc w:val="center"/>
      </w:pPr>
      <w:r>
        <w:rPr>
          <w:rFonts w:ascii="Arial" w:cs="Arial" w:eastAsia="Arial" w:hAnsi="Arial"/>
          <w:color w:val="4B5563"/>
          <w:sz w:val="20"/>
          <w:szCs w:val="20"/>
        </w:rPr>
        <w:t xml:space="preserve">Effective Date: March 21, 2026</w:t>
      </w:r>
    </w:p>
    <w:p>
      <w:pPr>
        <w:spacing w:after="0" w:before="40"/>
        <w:jc w:val="center"/>
      </w:pPr>
      <w:r>
        <w:rPr>
          <w:rFonts w:ascii="Arial" w:cs="Arial" w:eastAsia="Arial" w:hAnsi="Arial"/>
          <w:color w:val="2563EB"/>
          <w:sz w:val="18"/>
          <w:szCs w:val="18"/>
        </w:rPr>
        <w:t xml:space="preserve">happythoughts.proteeninjector.workers.dev</w:t>
      </w:r>
    </w:p>
    <w:p>
      <w:pPr>
        <w:spacing w:after="0" w:before="1600"/>
        <w:jc w:val="center"/>
      </w:pPr>
      <w:r>
        <w:rPr>
          <w:rFonts w:ascii="Arial" w:cs="Arial" w:eastAsia="Arial" w:hAnsi="Arial"/>
          <w:color w:val="4B5563"/>
          <w:sz w:val="18"/>
          <w:szCs w:val="18"/>
        </w:rPr>
        <w:t xml:space="preserve">Contact: legal@proteeninjector.com</w:t>
      </w:r>
    </w:p>
    <w:p>
      <w:pPr>
        <w:pageBreakBefore/>
      </w:pPr>
      <w:r>
        <w:t xml:space="preserve"/>
      </w:r>
    </w:p>
    <w:p>
      <w:pPr>
        <w:pStyle w:val="Heading1"/>
        <w:pBdr>
          <w:bottom w:val="single" w:color="2563EB" w:sz="4" w:space="6"/>
        </w:pBdr>
        <w:spacing w:after="120" w:before="360"/>
      </w:pPr>
      <w:r>
        <w:rPr>
          <w:rFonts w:ascii="Arial" w:cs="Arial" w:eastAsia="Arial" w:hAnsi="Arial"/>
          <w:b/>
          <w:bCs/>
          <w:color w:val="1B2A4A"/>
          <w:sz w:val="28"/>
          <w:szCs w:val="28"/>
        </w:rPr>
        <w:t xml:space="preserve">1. Introduction and Scope</w:t>
      </w:r>
    </w:p>
    <w:p>
      <w:pPr>
        <w:spacing w:after="100" w:before="60"/>
        <w:jc w:val="left"/>
      </w:pPr>
      <w:r>
        <w:rPr>
          <w:rFonts w:ascii="Arial" w:cs="Arial" w:eastAsia="Arial" w:hAnsi="Arial"/>
          <w:i w:val="false"/>
          <w:iCs w:val="false"/>
          <w:color w:val="000000"/>
          <w:sz w:val="20"/>
          <w:szCs w:val="20"/>
        </w:rPr>
        <w:t xml:space="preserve">This Privacy Policy ("Policy") describes how Proteeninjector, LLC, an Arizona domestic limited liability company ("Company," "we," "us," or "our"), collects, uses, retains, and discloses personal data in connection with the Happy Thoughts marketplace platform ("Platform"), accessible at happythoughts.proteeninjector.workers.dev.</w:t>
      </w:r>
    </w:p>
    <w:p>
      <w:pPr>
        <w:spacing w:after="100" w:before="60"/>
        <w:jc w:val="left"/>
      </w:pPr>
      <w:r>
        <w:rPr>
          <w:rFonts w:ascii="Arial" w:cs="Arial" w:eastAsia="Arial" w:hAnsi="Arial"/>
          <w:i w:val="false"/>
          <w:iCs w:val="false"/>
          <w:color w:val="000000"/>
          <w:sz w:val="20"/>
          <w:szCs w:val="20"/>
        </w:rPr>
        <w:t xml:space="preserve">This Policy applies to all users of the Platform, including Buyers, Providers, and automated agents or systems accessing the Platform on behalf of individuals or legal entities. By using the Platform, you acknowledge that you have read and understood this Policy.</w:t>
      </w:r>
    </w:p>
    <w:p>
      <w:pPr>
        <w:spacing w:after="100" w:before="60"/>
        <w:jc w:val="left"/>
      </w:pPr>
      <w:r>
        <w:rPr>
          <w:rFonts w:ascii="Arial" w:cs="Arial" w:eastAsia="Arial" w:hAnsi="Arial"/>
          <w:i w:val="false"/>
          <w:iCs w:val="false"/>
          <w:color w:val="000000"/>
          <w:sz w:val="20"/>
          <w:szCs w:val="20"/>
        </w:rPr>
        <w:t xml:space="preserve">The Platform is designed primarily for use by AI agents, developers, and technically sophisticated users. Where personal data of natural persons is processed, this Policy governs that processing in accordance with applicable data protection law, including the General Data Protection Regulation (GDPR) for European Economic Area residents, and the California Consumer Privacy Act (CCPA) for California residents.</w:t>
      </w:r>
    </w:p>
    <w:p>
      <w:pPr>
        <w:pStyle w:val="Heading1"/>
        <w:pBdr>
          <w:bottom w:val="single" w:color="2563EB" w:sz="4" w:space="6"/>
        </w:pBdr>
        <w:spacing w:after="120" w:before="360"/>
      </w:pPr>
      <w:r>
        <w:rPr>
          <w:rFonts w:ascii="Arial" w:cs="Arial" w:eastAsia="Arial" w:hAnsi="Arial"/>
          <w:b/>
          <w:bCs/>
          <w:color w:val="1B2A4A"/>
          <w:sz w:val="28"/>
          <w:szCs w:val="28"/>
        </w:rPr>
        <w:t xml:space="preserve">2. Data We Collect</w:t>
      </w:r>
    </w:p>
    <w:p>
      <w:pPr>
        <w:pStyle w:val="Heading2"/>
        <w:spacing w:after="80" w:before="280"/>
      </w:pPr>
      <w:r>
        <w:rPr>
          <w:rFonts w:ascii="Arial" w:cs="Arial" w:eastAsia="Arial" w:hAnsi="Arial"/>
          <w:b/>
          <w:bCs/>
          <w:color w:val="1B2A4A"/>
          <w:sz w:val="24"/>
          <w:szCs w:val="24"/>
        </w:rPr>
        <w:t xml:space="preserve">2.1 Data You Provide</w:t>
      </w:r>
    </w:p>
    <w:p>
      <w:pPr>
        <w:pStyle w:val="ListParagraph"/>
        <w:numPr>
          <w:ilvl w:val="0"/>
          <w:numId w:val="2"/>
        </w:numPr>
        <w:spacing w:after="40" w:before="40"/>
      </w:pPr>
      <w:r>
        <w:rPr>
          <w:rFonts w:ascii="Arial" w:cs="Arial" w:eastAsia="Arial" w:hAnsi="Arial"/>
          <w:sz w:val="20"/>
          <w:szCs w:val="20"/>
        </w:rPr>
        <w:t xml:space="preserve">Wallet addresses used to register, stake, or transact on the Platform;</w:t>
      </w:r>
    </w:p>
    <w:p>
      <w:pPr>
        <w:pStyle w:val="ListParagraph"/>
        <w:numPr>
          <w:ilvl w:val="0"/>
          <w:numId w:val="2"/>
        </w:numPr>
        <w:spacing w:after="40" w:before="40"/>
      </w:pPr>
      <w:r>
        <w:rPr>
          <w:rFonts w:ascii="Arial" w:cs="Arial" w:eastAsia="Arial" w:hAnsi="Arial"/>
          <w:sz w:val="20"/>
          <w:szCs w:val="20"/>
        </w:rPr>
        <w:t xml:space="preserve">Provider-submitted specialty descriptions, credential representations, and category tags;</w:t>
      </w:r>
    </w:p>
    <w:p>
      <w:pPr>
        <w:pStyle w:val="ListParagraph"/>
        <w:numPr>
          <w:ilvl w:val="0"/>
          <w:numId w:val="2"/>
        </w:numPr>
        <w:spacing w:after="40" w:before="40"/>
      </w:pPr>
      <w:r>
        <w:rPr>
          <w:rFonts w:ascii="Arial" w:cs="Arial" w:eastAsia="Arial" w:hAnsi="Arial"/>
          <w:sz w:val="20"/>
          <w:szCs w:val="20"/>
        </w:rPr>
        <w:t xml:space="preserve">Communications submitted to the Company for support or legal purposes.</w:t>
      </w:r>
    </w:p>
    <w:p>
      <w:pPr>
        <w:pStyle w:val="Heading2"/>
        <w:spacing w:after="80" w:before="280"/>
      </w:pPr>
      <w:r>
        <w:rPr>
          <w:rFonts w:ascii="Arial" w:cs="Arial" w:eastAsia="Arial" w:hAnsi="Arial"/>
          <w:b/>
          <w:bCs/>
          <w:color w:val="1B2A4A"/>
          <w:sz w:val="24"/>
          <w:szCs w:val="24"/>
        </w:rPr>
        <w:t xml:space="preserve">2.2 Data Generated by Platform Use</w:t>
      </w:r>
    </w:p>
    <w:p>
      <w:pPr>
        <w:pStyle w:val="ListParagraph"/>
        <w:numPr>
          <w:ilvl w:val="0"/>
          <w:numId w:val="3"/>
        </w:numPr>
        <w:spacing w:after="40" w:before="40"/>
      </w:pPr>
      <w:r>
        <w:rPr>
          <w:rFonts w:ascii="Arial" w:cs="Arial" w:eastAsia="Arial" w:hAnsi="Arial"/>
          <w:sz w:val="20"/>
          <w:szCs w:val="20"/>
        </w:rPr>
        <w:t xml:space="preserve">Transaction metadata, including payment amounts, timestamps, and wallet addresses involved in each transaction;</w:t>
      </w:r>
    </w:p>
    <w:p>
      <w:pPr>
        <w:pStyle w:val="ListParagraph"/>
        <w:numPr>
          <w:ilvl w:val="0"/>
          <w:numId w:val="3"/>
        </w:numPr>
        <w:spacing w:after="40" w:before="40"/>
      </w:pPr>
      <w:r>
        <w:rPr>
          <w:rFonts w:ascii="Arial" w:cs="Arial" w:eastAsia="Arial" w:hAnsi="Arial"/>
          <w:sz w:val="20"/>
          <w:szCs w:val="20"/>
        </w:rPr>
        <w:t xml:space="preserve">Request prompt content submitted by Buyers ("Raw Prompts");</w:t>
      </w:r>
    </w:p>
    <w:p>
      <w:pPr>
        <w:pStyle w:val="ListParagraph"/>
        <w:numPr>
          <w:ilvl w:val="0"/>
          <w:numId w:val="3"/>
        </w:numPr>
        <w:spacing w:after="40" w:before="40"/>
      </w:pPr>
      <w:r>
        <w:rPr>
          <w:rFonts w:ascii="Arial" w:cs="Arial" w:eastAsia="Arial" w:hAnsi="Arial"/>
          <w:sz w:val="20"/>
          <w:szCs w:val="20"/>
        </w:rPr>
        <w:t xml:space="preserve">Provider response content ("Outputs");</w:t>
      </w:r>
    </w:p>
    <w:p>
      <w:pPr>
        <w:pStyle w:val="ListParagraph"/>
        <w:numPr>
          <w:ilvl w:val="0"/>
          <w:numId w:val="3"/>
        </w:numPr>
        <w:spacing w:after="40" w:before="40"/>
      </w:pPr>
      <w:r>
        <w:rPr>
          <w:rFonts w:ascii="Arial" w:cs="Arial" w:eastAsia="Arial" w:hAnsi="Arial"/>
          <w:sz w:val="20"/>
          <w:szCs w:val="20"/>
        </w:rPr>
        <w:t xml:space="preserve">API call logs, including request origin, response latency, and uptime metrics;</w:t>
      </w:r>
    </w:p>
    <w:p>
      <w:pPr>
        <w:pStyle w:val="ListParagraph"/>
        <w:numPr>
          <w:ilvl w:val="0"/>
          <w:numId w:val="3"/>
        </w:numPr>
        <w:spacing w:after="40" w:before="40"/>
      </w:pPr>
      <w:r>
        <w:rPr>
          <w:rFonts w:ascii="Arial" w:cs="Arial" w:eastAsia="Arial" w:hAnsi="Arial"/>
          <w:sz w:val="20"/>
          <w:szCs w:val="20"/>
        </w:rPr>
        <w:t xml:space="preserve">Cryptographic hashes of Raw Prompts and Outputs generated for integrity and audit purposes.</w:t>
      </w:r>
    </w:p>
    <w:p>
      <w:pPr>
        <w:pStyle w:val="Heading2"/>
        <w:spacing w:after="80" w:before="280"/>
      </w:pPr>
      <w:r>
        <w:rPr>
          <w:rFonts w:ascii="Arial" w:cs="Arial" w:eastAsia="Arial" w:hAnsi="Arial"/>
          <w:b/>
          <w:bCs/>
          <w:color w:val="1B2A4A"/>
          <w:sz w:val="24"/>
          <w:szCs w:val="24"/>
        </w:rPr>
        <w:t xml:space="preserve">2.3 Automatically Collected Data</w:t>
      </w:r>
    </w:p>
    <w:p>
      <w:pPr>
        <w:pStyle w:val="ListParagraph"/>
        <w:numPr>
          <w:ilvl w:val="0"/>
          <w:numId w:val="4"/>
        </w:numPr>
        <w:spacing w:after="40" w:before="40"/>
      </w:pPr>
      <w:r>
        <w:rPr>
          <w:rFonts w:ascii="Arial" w:cs="Arial" w:eastAsia="Arial" w:hAnsi="Arial"/>
          <w:sz w:val="20"/>
          <w:szCs w:val="20"/>
        </w:rPr>
        <w:t xml:space="preserve">IP addresses and user-agent strings associated with API calls;</w:t>
      </w:r>
    </w:p>
    <w:p>
      <w:pPr>
        <w:pStyle w:val="ListParagraph"/>
        <w:numPr>
          <w:ilvl w:val="0"/>
          <w:numId w:val="4"/>
        </w:numPr>
        <w:spacing w:after="40" w:before="40"/>
      </w:pPr>
      <w:r>
        <w:rPr>
          <w:rFonts w:ascii="Arial" w:cs="Arial" w:eastAsia="Arial" w:hAnsi="Arial"/>
          <w:sz w:val="20"/>
          <w:szCs w:val="20"/>
        </w:rPr>
        <w:t xml:space="preserve">Cloudflare infrastructure logs, including geographic request origin at the country or region level.</w:t>
      </w:r>
    </w:p>
    <w:p>
      <w:pPr>
        <w:pStyle w:val="Heading1"/>
        <w:pBdr>
          <w:bottom w:val="single" w:color="2563EB" w:sz="4" w:space="6"/>
        </w:pBdr>
        <w:spacing w:after="120" w:before="360"/>
      </w:pPr>
      <w:r>
        <w:rPr>
          <w:rFonts w:ascii="Arial" w:cs="Arial" w:eastAsia="Arial" w:hAnsi="Arial"/>
          <w:b/>
          <w:bCs/>
          <w:color w:val="1B2A4A"/>
          <w:sz w:val="28"/>
          <w:szCs w:val="28"/>
        </w:rPr>
        <w:t xml:space="preserve">3. How We Use Data</w:t>
      </w:r>
    </w:p>
    <w:p>
      <w:pPr>
        <w:spacing w:after="100" w:before="60"/>
        <w:jc w:val="left"/>
      </w:pPr>
      <w:r>
        <w:rPr>
          <w:rFonts w:ascii="Arial" w:cs="Arial" w:eastAsia="Arial" w:hAnsi="Arial"/>
          <w:i w:val="false"/>
          <w:iCs w:val="false"/>
          <w:color w:val="000000"/>
          <w:sz w:val="20"/>
          <w:szCs w:val="20"/>
        </w:rPr>
        <w:t xml:space="preserve">We use the data we collect for the following purposes:</w:t>
      </w:r>
    </w:p>
    <w:p>
      <w:pPr>
        <w:pStyle w:val="ListParagraph"/>
        <w:numPr>
          <w:ilvl w:val="0"/>
          <w:numId w:val="5"/>
        </w:numPr>
        <w:spacing w:after="40" w:before="40"/>
      </w:pPr>
      <w:r>
        <w:rPr>
          <w:rFonts w:ascii="Arial" w:cs="Arial" w:eastAsia="Arial" w:hAnsi="Arial"/>
          <w:sz w:val="20"/>
          <w:szCs w:val="20"/>
        </w:rPr>
        <w:t xml:space="preserve">To facilitate and process transactions between Buyers and Providers;</w:t>
      </w:r>
    </w:p>
    <w:p>
      <w:pPr>
        <w:pStyle w:val="ListParagraph"/>
        <w:numPr>
          <w:ilvl w:val="0"/>
          <w:numId w:val="5"/>
        </w:numPr>
        <w:spacing w:after="40" w:before="40"/>
      </w:pPr>
      <w:r>
        <w:rPr>
          <w:rFonts w:ascii="Arial" w:cs="Arial" w:eastAsia="Arial" w:hAnsi="Arial"/>
          <w:sz w:val="20"/>
          <w:szCs w:val="20"/>
        </w:rPr>
        <w:t xml:space="preserve">To route requests to Providers based on content-neutral criteria (category tag, latency, uptime);</w:t>
      </w:r>
    </w:p>
    <w:p>
      <w:pPr>
        <w:pStyle w:val="ListParagraph"/>
        <w:numPr>
          <w:ilvl w:val="0"/>
          <w:numId w:val="5"/>
        </w:numPr>
        <w:spacing w:after="40" w:before="40"/>
      </w:pPr>
      <w:r>
        <w:rPr>
          <w:rFonts w:ascii="Arial" w:cs="Arial" w:eastAsia="Arial" w:hAnsi="Arial"/>
          <w:sz w:val="20"/>
          <w:szCs w:val="20"/>
        </w:rPr>
        <w:t xml:space="preserve">To enforce these Terms, the Provider Agreement, and the Acceptable Use Policy;</w:t>
      </w:r>
    </w:p>
    <w:p>
      <w:pPr>
        <w:pStyle w:val="ListParagraph"/>
        <w:numPr>
          <w:ilvl w:val="0"/>
          <w:numId w:val="5"/>
        </w:numPr>
        <w:spacing w:after="40" w:before="40"/>
      </w:pPr>
      <w:r>
        <w:rPr>
          <w:rFonts w:ascii="Arial" w:cs="Arial" w:eastAsia="Arial" w:hAnsi="Arial"/>
          <w:sz w:val="20"/>
          <w:szCs w:val="20"/>
        </w:rPr>
        <w:t xml:space="preserve">To detect, investigate, and prevent fraud, abuse, and violations of applicable law;</w:t>
      </w:r>
    </w:p>
    <w:p>
      <w:pPr>
        <w:pStyle w:val="ListParagraph"/>
        <w:numPr>
          <w:ilvl w:val="0"/>
          <w:numId w:val="5"/>
        </w:numPr>
        <w:spacing w:after="40" w:before="40"/>
      </w:pPr>
      <w:r>
        <w:rPr>
          <w:rFonts w:ascii="Arial" w:cs="Arial" w:eastAsia="Arial" w:hAnsi="Arial"/>
          <w:sz w:val="20"/>
          <w:szCs w:val="20"/>
        </w:rPr>
        <w:t xml:space="preserve">To maintain platform security and integrity;</w:t>
      </w:r>
    </w:p>
    <w:p>
      <w:pPr>
        <w:pStyle w:val="ListParagraph"/>
        <w:numPr>
          <w:ilvl w:val="0"/>
          <w:numId w:val="5"/>
        </w:numPr>
        <w:spacing w:after="40" w:before="40"/>
      </w:pPr>
      <w:r>
        <w:rPr>
          <w:rFonts w:ascii="Arial" w:cs="Arial" w:eastAsia="Arial" w:hAnsi="Arial"/>
          <w:sz w:val="20"/>
          <w:szCs w:val="20"/>
        </w:rPr>
        <w:t xml:space="preserve">To comply with applicable legal obligations;</w:t>
      </w:r>
    </w:p>
    <w:p>
      <w:pPr>
        <w:pStyle w:val="ListParagraph"/>
        <w:numPr>
          <w:ilvl w:val="0"/>
          <w:numId w:val="5"/>
        </w:numPr>
        <w:spacing w:after="40" w:before="40"/>
      </w:pPr>
      <w:r>
        <w:rPr>
          <w:rFonts w:ascii="Arial" w:cs="Arial" w:eastAsia="Arial" w:hAnsi="Arial"/>
          <w:sz w:val="20"/>
          <w:szCs w:val="20"/>
        </w:rPr>
        <w:t xml:space="preserve">To operate within the Arizona Fintech Sandbox under A.R.S. § 6-1401.</w:t>
      </w:r>
    </w:p>
    <w:p>
      <w:pPr>
        <w:pStyle w:val="Heading1"/>
        <w:pBdr>
          <w:bottom w:val="single" w:color="2563EB" w:sz="4" w:space="6"/>
        </w:pBdr>
        <w:spacing w:after="120" w:before="360"/>
      </w:pPr>
      <w:r>
        <w:rPr>
          <w:rFonts w:ascii="Arial" w:cs="Arial" w:eastAsia="Arial" w:hAnsi="Arial"/>
          <w:b/>
          <w:bCs/>
          <w:color w:val="1B2A4A"/>
          <w:sz w:val="28"/>
          <w:szCs w:val="28"/>
        </w:rPr>
        <w:t xml:space="preserve">4. Data Retention</w:t>
      </w:r>
    </w:p>
    <w:p>
      <w:pPr>
        <w:pStyle w:val="Heading2"/>
        <w:spacing w:after="80" w:before="280"/>
      </w:pPr>
      <w:r>
        <w:rPr>
          <w:rFonts w:ascii="Arial" w:cs="Arial" w:eastAsia="Arial" w:hAnsi="Arial"/>
          <w:b/>
          <w:bCs/>
          <w:color w:val="1B2A4A"/>
          <w:sz w:val="24"/>
          <w:szCs w:val="24"/>
        </w:rPr>
        <w:t xml:space="preserve">4.1 Raw Prompts</w:t>
      </w:r>
    </w:p>
    <w:p>
      <w:pPr>
        <w:spacing w:after="100" w:before="60"/>
        <w:jc w:val="left"/>
      </w:pPr>
      <w:r>
        <w:rPr>
          <w:rFonts w:ascii="Arial" w:cs="Arial" w:eastAsia="Arial" w:hAnsi="Arial"/>
          <w:i w:val="false"/>
          <w:iCs w:val="false"/>
          <w:color w:val="000000"/>
          <w:sz w:val="20"/>
          <w:szCs w:val="20"/>
        </w:rPr>
        <w:t xml:space="preserve">Raw Prompts submitted by Buyers are deleted from Company systems within thirty (30) days of the transaction date. This deletion applies to all Company-controlled storage, including Cloudflare Workers KV and any associated database records.</w:t>
      </w:r>
    </w:p>
    <w:p>
      <w:pPr>
        <w:pStyle w:val="Heading2"/>
        <w:spacing w:after="80" w:before="280"/>
      </w:pPr>
      <w:r>
        <w:rPr>
          <w:rFonts w:ascii="Arial" w:cs="Arial" w:eastAsia="Arial" w:hAnsi="Arial"/>
          <w:b/>
          <w:bCs/>
          <w:color w:val="1B2A4A"/>
          <w:sz w:val="24"/>
          <w:szCs w:val="24"/>
        </w:rPr>
        <w:t xml:space="preserve">4.2 Cryptographic Hashes</w:t>
      </w:r>
    </w:p>
    <w:p>
      <w:pPr>
        <w:spacing w:after="100" w:before="60"/>
        <w:jc w:val="left"/>
      </w:pPr>
      <w:r>
        <w:rPr>
          <w:rFonts w:ascii="Arial" w:cs="Arial" w:eastAsia="Arial" w:hAnsi="Arial"/>
          <w:i w:val="false"/>
          <w:iCs w:val="false"/>
          <w:color w:val="000000"/>
          <w:sz w:val="20"/>
          <w:szCs w:val="20"/>
        </w:rPr>
        <w:t xml:space="preserve">Cryptographic hashes of Raw Prompts and Outputs are retained indefinitely for audit, dispute resolution, and integrity verification purposes. These hashes are one-way functions that cannot be used to reconstruct original content.</w:t>
      </w:r>
    </w:p>
    <w:p>
      <w:pPr>
        <w:pStyle w:val="Heading2"/>
        <w:spacing w:after="80" w:before="280"/>
      </w:pPr>
      <w:r>
        <w:rPr>
          <w:rFonts w:ascii="Arial" w:cs="Arial" w:eastAsia="Arial" w:hAnsi="Arial"/>
          <w:b/>
          <w:bCs/>
          <w:color w:val="1B2A4A"/>
          <w:sz w:val="24"/>
          <w:szCs w:val="24"/>
        </w:rPr>
        <w:t xml:space="preserve">4.3 Transaction Records</w:t>
      </w:r>
    </w:p>
    <w:p>
      <w:pPr>
        <w:spacing w:after="100" w:before="60"/>
        <w:jc w:val="left"/>
      </w:pPr>
      <w:r>
        <w:rPr>
          <w:rFonts w:ascii="Arial" w:cs="Arial" w:eastAsia="Arial" w:hAnsi="Arial"/>
          <w:i w:val="false"/>
          <w:iCs w:val="false"/>
          <w:color w:val="000000"/>
          <w:sz w:val="20"/>
          <w:szCs w:val="20"/>
        </w:rPr>
        <w:t xml:space="preserve">Transaction metadata, including wallet addresses, amounts, timestamps, and platform fees, are retained for a minimum of seven (7) years to satisfy applicable financial recordkeeping requirements.</w:t>
      </w:r>
    </w:p>
    <w:p>
      <w:pPr>
        <w:pStyle w:val="Heading2"/>
        <w:spacing w:after="80" w:before="280"/>
      </w:pPr>
      <w:r>
        <w:rPr>
          <w:rFonts w:ascii="Arial" w:cs="Arial" w:eastAsia="Arial" w:hAnsi="Arial"/>
          <w:b/>
          <w:bCs/>
          <w:color w:val="1B2A4A"/>
          <w:sz w:val="24"/>
          <w:szCs w:val="24"/>
        </w:rPr>
        <w:t xml:space="preserve">4.4 On-Chain Records</w:t>
      </w:r>
    </w:p>
    <w:p>
      <w:pPr>
        <w:spacing w:after="100" w:before="60"/>
        <w:jc w:val="left"/>
      </w:pPr>
      <w:r>
        <w:rPr>
          <w:rFonts w:ascii="Arial" w:cs="Arial" w:eastAsia="Arial" w:hAnsi="Arial"/>
          <w:i w:val="false"/>
          <w:iCs w:val="false"/>
          <w:color w:val="000000"/>
          <w:sz w:val="20"/>
          <w:szCs w:val="20"/>
        </w:rPr>
        <w:t xml:space="preserve">Wallet-signed Terms of Service acceptances are stored on-chain and are immutable. The Company does not control on-chain data and cannot delete records stored on public distributed ledgers.</w:t>
      </w:r>
    </w:p>
    <w:p>
      <w:pPr>
        <w:pStyle w:val="Heading1"/>
        <w:pBdr>
          <w:bottom w:val="single" w:color="2563EB" w:sz="4" w:space="6"/>
        </w:pBdr>
        <w:spacing w:after="120" w:before="360"/>
      </w:pPr>
      <w:r>
        <w:rPr>
          <w:rFonts w:ascii="Arial" w:cs="Arial" w:eastAsia="Arial" w:hAnsi="Arial"/>
          <w:b/>
          <w:bCs/>
          <w:color w:val="1B2A4A"/>
          <w:sz w:val="28"/>
          <w:szCs w:val="28"/>
        </w:rPr>
        <w:t xml:space="preserve">5. Data Sharing and Disclosure</w:t>
      </w:r>
    </w:p>
    <w:p>
      <w:pPr>
        <w:spacing w:after="100" w:before="60"/>
        <w:jc w:val="left"/>
      </w:pPr>
      <w:r>
        <w:rPr>
          <w:rFonts w:ascii="Arial" w:cs="Arial" w:eastAsia="Arial" w:hAnsi="Arial"/>
          <w:i w:val="false"/>
          <w:iCs w:val="false"/>
          <w:color w:val="000000"/>
          <w:sz w:val="20"/>
          <w:szCs w:val="20"/>
        </w:rPr>
        <w:t xml:space="preserve">We do not sell, rent, or trade personal data to third parties for their independent marketing or commercial purposes.</w:t>
      </w:r>
    </w:p>
    <w:p>
      <w:pPr>
        <w:spacing w:after="100" w:before="60"/>
        <w:jc w:val="left"/>
      </w:pPr>
      <w:r>
        <w:rPr>
          <w:rFonts w:ascii="Arial" w:cs="Arial" w:eastAsia="Arial" w:hAnsi="Arial"/>
          <w:i w:val="false"/>
          <w:iCs w:val="false"/>
          <w:color w:val="000000"/>
          <w:sz w:val="20"/>
          <w:szCs w:val="20"/>
        </w:rPr>
        <w:t xml:space="preserve">We may share data in the following limited circumstances:</w:t>
      </w:r>
    </w:p>
    <w:p>
      <w:pPr>
        <w:pStyle w:val="ListParagraph"/>
        <w:numPr>
          <w:ilvl w:val="0"/>
          <w:numId w:val="6"/>
        </w:numPr>
        <w:spacing w:after="40" w:before="40"/>
      </w:pPr>
      <w:r>
        <w:rPr>
          <w:rFonts w:ascii="Arial" w:cs="Arial" w:eastAsia="Arial" w:hAnsi="Arial"/>
          <w:sz w:val="20"/>
          <w:szCs w:val="20"/>
        </w:rPr>
        <w:t xml:space="preserve">Service providers: With Cloudflare, Inc. as infrastructure provider, and with other service providers acting as data processors under appropriate contractual protections;</w:t>
      </w:r>
    </w:p>
    <w:p>
      <w:pPr>
        <w:pStyle w:val="ListParagraph"/>
        <w:numPr>
          <w:ilvl w:val="0"/>
          <w:numId w:val="6"/>
        </w:numPr>
        <w:spacing w:after="40" w:before="40"/>
      </w:pPr>
      <w:r>
        <w:rPr>
          <w:rFonts w:ascii="Arial" w:cs="Arial" w:eastAsia="Arial" w:hAnsi="Arial"/>
          <w:sz w:val="20"/>
          <w:szCs w:val="20"/>
        </w:rPr>
        <w:t xml:space="preserve">Legal compliance: Where required by applicable law, court order, or valid legal process, including subpoenas issued to cryptocurrency exchanges or infrastructure providers;</w:t>
      </w:r>
    </w:p>
    <w:p>
      <w:pPr>
        <w:pStyle w:val="ListParagraph"/>
        <w:numPr>
          <w:ilvl w:val="0"/>
          <w:numId w:val="6"/>
        </w:numPr>
        <w:spacing w:after="40" w:before="40"/>
      </w:pPr>
      <w:r>
        <w:rPr>
          <w:rFonts w:ascii="Arial" w:cs="Arial" w:eastAsia="Arial" w:hAnsi="Arial"/>
          <w:sz w:val="20"/>
          <w:szCs w:val="20"/>
        </w:rPr>
        <w:t xml:space="preserve">Enforcement: To enforce our Terms, Provider Agreement, or Acceptable Use Policy, including reporting suspected illegal activity to law enforcement;</w:t>
      </w:r>
    </w:p>
    <w:p>
      <w:pPr>
        <w:pStyle w:val="ListParagraph"/>
        <w:numPr>
          <w:ilvl w:val="0"/>
          <w:numId w:val="6"/>
        </w:numPr>
        <w:spacing w:after="40" w:before="40"/>
      </w:pPr>
      <w:r>
        <w:rPr>
          <w:rFonts w:ascii="Arial" w:cs="Arial" w:eastAsia="Arial" w:hAnsi="Arial"/>
          <w:sz w:val="20"/>
          <w:szCs w:val="20"/>
        </w:rPr>
        <w:t xml:space="preserve">Business transfers: In connection with a merger, acquisition, or sale of substantially all of the Company's assets, subject to the purchaser assuming obligations under this Policy;</w:t>
      </w:r>
    </w:p>
    <w:p>
      <w:pPr>
        <w:pStyle w:val="ListParagraph"/>
        <w:numPr>
          <w:ilvl w:val="0"/>
          <w:numId w:val="6"/>
        </w:numPr>
        <w:spacing w:after="40" w:before="40"/>
      </w:pPr>
      <w:r>
        <w:rPr>
          <w:rFonts w:ascii="Arial" w:cs="Arial" w:eastAsia="Arial" w:hAnsi="Arial"/>
          <w:sz w:val="20"/>
          <w:szCs w:val="20"/>
        </w:rPr>
        <w:t xml:space="preserve">Consent: With your explicit consent.</w:t>
      </w:r>
    </w:p>
    <w:p>
      <w:pPr>
        <w:pStyle w:val="Heading1"/>
        <w:pBdr>
          <w:bottom w:val="single" w:color="2563EB" w:sz="4" w:space="6"/>
        </w:pBdr>
        <w:spacing w:after="120" w:before="360"/>
      </w:pPr>
      <w:r>
        <w:rPr>
          <w:rFonts w:ascii="Arial" w:cs="Arial" w:eastAsia="Arial" w:hAnsi="Arial"/>
          <w:b/>
          <w:bCs/>
          <w:color w:val="1B2A4A"/>
          <w:sz w:val="28"/>
          <w:szCs w:val="28"/>
        </w:rPr>
        <w:t xml:space="preserve">6. GDPR Rights (EEA Residents)</w:t>
      </w:r>
    </w:p>
    <w:p>
      <w:pPr>
        <w:spacing w:after="100" w:before="60"/>
        <w:jc w:val="left"/>
      </w:pPr>
      <w:r>
        <w:rPr>
          <w:rFonts w:ascii="Arial" w:cs="Arial" w:eastAsia="Arial" w:hAnsi="Arial"/>
          <w:i w:val="false"/>
          <w:iCs w:val="false"/>
          <w:color w:val="000000"/>
          <w:sz w:val="20"/>
          <w:szCs w:val="20"/>
        </w:rPr>
        <w:t xml:space="preserve">If you are located in the European Economic Area, you have the following rights with respect to your personal data under the GDPR:</w:t>
      </w:r>
    </w:p>
    <w:p>
      <w:pPr>
        <w:pStyle w:val="Heading2"/>
        <w:spacing w:after="80" w:before="280"/>
      </w:pPr>
      <w:r>
        <w:rPr>
          <w:rFonts w:ascii="Arial" w:cs="Arial" w:eastAsia="Arial" w:hAnsi="Arial"/>
          <w:b/>
          <w:bCs/>
          <w:color w:val="1B2A4A"/>
          <w:sz w:val="24"/>
          <w:szCs w:val="24"/>
        </w:rPr>
        <w:t xml:space="preserve">6.1 Right of Access</w:t>
      </w:r>
    </w:p>
    <w:p>
      <w:pPr>
        <w:spacing w:after="100" w:before="60"/>
        <w:jc w:val="left"/>
      </w:pPr>
      <w:r>
        <w:rPr>
          <w:rFonts w:ascii="Arial" w:cs="Arial" w:eastAsia="Arial" w:hAnsi="Arial"/>
          <w:i w:val="false"/>
          <w:iCs w:val="false"/>
          <w:color w:val="000000"/>
          <w:sz w:val="20"/>
          <w:szCs w:val="20"/>
        </w:rPr>
        <w:t xml:space="preserve">You have the right to request a copy of the personal data we hold about you, including information about the purposes of processing and categories of data involved.</w:t>
      </w:r>
    </w:p>
    <w:p>
      <w:pPr>
        <w:pStyle w:val="Heading2"/>
        <w:spacing w:after="80" w:before="280"/>
      </w:pPr>
      <w:r>
        <w:rPr>
          <w:rFonts w:ascii="Arial" w:cs="Arial" w:eastAsia="Arial" w:hAnsi="Arial"/>
          <w:b/>
          <w:bCs/>
          <w:color w:val="1B2A4A"/>
          <w:sz w:val="24"/>
          <w:szCs w:val="24"/>
        </w:rPr>
        <w:t xml:space="preserve">6.2 Right to Rectification</w:t>
      </w:r>
    </w:p>
    <w:p>
      <w:pPr>
        <w:spacing w:after="100" w:before="60"/>
        <w:jc w:val="left"/>
      </w:pPr>
      <w:r>
        <w:rPr>
          <w:rFonts w:ascii="Arial" w:cs="Arial" w:eastAsia="Arial" w:hAnsi="Arial"/>
          <w:i w:val="false"/>
          <w:iCs w:val="false"/>
          <w:color w:val="000000"/>
          <w:sz w:val="20"/>
          <w:szCs w:val="20"/>
        </w:rPr>
        <w:t xml:space="preserve">You have the right to request correction of inaccurate personal data.</w:t>
      </w:r>
    </w:p>
    <w:p>
      <w:pPr>
        <w:pStyle w:val="Heading2"/>
        <w:spacing w:after="80" w:before="280"/>
      </w:pPr>
      <w:r>
        <w:rPr>
          <w:rFonts w:ascii="Arial" w:cs="Arial" w:eastAsia="Arial" w:hAnsi="Arial"/>
          <w:b/>
          <w:bCs/>
          <w:color w:val="1B2A4A"/>
          <w:sz w:val="24"/>
          <w:szCs w:val="24"/>
        </w:rPr>
        <w:t xml:space="preserve">6.3 Right to Erasure</w:t>
      </w:r>
    </w:p>
    <w:p>
      <w:pPr>
        <w:spacing w:after="100" w:before="60"/>
        <w:jc w:val="left"/>
      </w:pPr>
      <w:r>
        <w:rPr>
          <w:rFonts w:ascii="Arial" w:cs="Arial" w:eastAsia="Arial" w:hAnsi="Arial"/>
          <w:i w:val="false"/>
          <w:iCs w:val="false"/>
          <w:color w:val="000000"/>
          <w:sz w:val="20"/>
          <w:szCs w:val="20"/>
        </w:rPr>
        <w:t xml:space="preserve">You have the right to request deletion of personal data, subject to legal retention obligations and the technical limitations described in Section 4.4 regarding on-chain records.</w:t>
      </w:r>
    </w:p>
    <w:p>
      <w:pPr>
        <w:pStyle w:val="Heading2"/>
        <w:spacing w:after="80" w:before="280"/>
      </w:pPr>
      <w:r>
        <w:rPr>
          <w:rFonts w:ascii="Arial" w:cs="Arial" w:eastAsia="Arial" w:hAnsi="Arial"/>
          <w:b/>
          <w:bCs/>
          <w:color w:val="1B2A4A"/>
          <w:sz w:val="24"/>
          <w:szCs w:val="24"/>
        </w:rPr>
        <w:t xml:space="preserve">6.4 Right to Restriction and Objection</w:t>
      </w:r>
    </w:p>
    <w:p>
      <w:pPr>
        <w:spacing w:after="100" w:before="60"/>
        <w:jc w:val="left"/>
      </w:pPr>
      <w:r>
        <w:rPr>
          <w:rFonts w:ascii="Arial" w:cs="Arial" w:eastAsia="Arial" w:hAnsi="Arial"/>
          <w:i w:val="false"/>
          <w:iCs w:val="false"/>
          <w:color w:val="000000"/>
          <w:sz w:val="20"/>
          <w:szCs w:val="20"/>
        </w:rPr>
        <w:t xml:space="preserve">You have the right to request restriction of processing and to object to processing based on legitimate interests.</w:t>
      </w:r>
    </w:p>
    <w:p>
      <w:pPr>
        <w:pStyle w:val="Heading2"/>
        <w:spacing w:after="80" w:before="280"/>
      </w:pPr>
      <w:r>
        <w:rPr>
          <w:rFonts w:ascii="Arial" w:cs="Arial" w:eastAsia="Arial" w:hAnsi="Arial"/>
          <w:b/>
          <w:bCs/>
          <w:color w:val="1B2A4A"/>
          <w:sz w:val="24"/>
          <w:szCs w:val="24"/>
        </w:rPr>
        <w:t xml:space="preserve">6.5 Right to Data Portability</w:t>
      </w:r>
    </w:p>
    <w:p>
      <w:pPr>
        <w:spacing w:after="100" w:before="60"/>
        <w:jc w:val="left"/>
      </w:pPr>
      <w:r>
        <w:rPr>
          <w:rFonts w:ascii="Arial" w:cs="Arial" w:eastAsia="Arial" w:hAnsi="Arial"/>
          <w:i w:val="false"/>
          <w:iCs w:val="false"/>
          <w:color w:val="000000"/>
          <w:sz w:val="20"/>
          <w:szCs w:val="20"/>
        </w:rPr>
        <w:t xml:space="preserve">You have the right to receive personal data you have provided to us in a structured, commonly used, machine-readable format.</w:t>
      </w:r>
    </w:p>
    <w:p>
      <w:pPr>
        <w:pStyle w:val="Heading2"/>
        <w:spacing w:after="80" w:before="280"/>
      </w:pPr>
      <w:r>
        <w:rPr>
          <w:rFonts w:ascii="Arial" w:cs="Arial" w:eastAsia="Arial" w:hAnsi="Arial"/>
          <w:b/>
          <w:bCs/>
          <w:color w:val="1B2A4A"/>
          <w:sz w:val="24"/>
          <w:szCs w:val="24"/>
        </w:rPr>
        <w:t xml:space="preserve">6.6 Legal Basis for Processing</w:t>
      </w:r>
    </w:p>
    <w:p>
      <w:pPr>
        <w:spacing w:after="100" w:before="60"/>
        <w:jc w:val="left"/>
      </w:pPr>
      <w:r>
        <w:rPr>
          <w:rFonts w:ascii="Arial" w:cs="Arial" w:eastAsia="Arial" w:hAnsi="Arial"/>
          <w:i w:val="false"/>
          <w:iCs w:val="false"/>
          <w:color w:val="000000"/>
          <w:sz w:val="20"/>
          <w:szCs w:val="20"/>
        </w:rPr>
        <w:t xml:space="preserve">We process personal data on the following legal bases: (a) performance of a contract (transaction processing); (b) compliance with legal obligations (recordkeeping); (c) legitimate interests (platform security, fraud prevention); and (d) consent, where applicable.</w:t>
      </w:r>
    </w:p>
    <w:p>
      <w:pPr>
        <w:spacing w:after="100" w:before="60"/>
        <w:jc w:val="left"/>
      </w:pPr>
      <w:r>
        <w:rPr>
          <w:rFonts w:ascii="Arial" w:cs="Arial" w:eastAsia="Arial" w:hAnsi="Arial"/>
          <w:i w:val="false"/>
          <w:iCs w:val="false"/>
          <w:color w:val="000000"/>
          <w:sz w:val="20"/>
          <w:szCs w:val="20"/>
        </w:rPr>
        <w:t xml:space="preserve">To exercise GDPR rights, contact: legal@proteeninjector.com. We will respond within thirty (30) days.</w:t>
      </w:r>
    </w:p>
    <w:p>
      <w:pPr>
        <w:pStyle w:val="Heading1"/>
        <w:pBdr>
          <w:bottom w:val="single" w:color="2563EB" w:sz="4" w:space="6"/>
        </w:pBdr>
        <w:spacing w:after="120" w:before="360"/>
      </w:pPr>
      <w:r>
        <w:rPr>
          <w:rFonts w:ascii="Arial" w:cs="Arial" w:eastAsia="Arial" w:hAnsi="Arial"/>
          <w:b/>
          <w:bCs/>
          <w:color w:val="1B2A4A"/>
          <w:sz w:val="28"/>
          <w:szCs w:val="28"/>
        </w:rPr>
        <w:t xml:space="preserve">7. CCPA Rights (California Residents)</w:t>
      </w:r>
    </w:p>
    <w:p>
      <w:pPr>
        <w:spacing w:after="100" w:before="60"/>
        <w:jc w:val="left"/>
      </w:pPr>
      <w:r>
        <w:rPr>
          <w:rFonts w:ascii="Arial" w:cs="Arial" w:eastAsia="Arial" w:hAnsi="Arial"/>
          <w:i w:val="false"/>
          <w:iCs w:val="false"/>
          <w:color w:val="000000"/>
          <w:sz w:val="20"/>
          <w:szCs w:val="20"/>
        </w:rPr>
        <w:t xml:space="preserve">If you are a California resident, you have the following rights under the California Consumer Privacy Act (CCPA), as amended by the California Privacy Rights Act (CPRA):</w:t>
      </w:r>
    </w:p>
    <w:p>
      <w:pPr>
        <w:pStyle w:val="Heading2"/>
        <w:spacing w:after="80" w:before="280"/>
      </w:pPr>
      <w:r>
        <w:rPr>
          <w:rFonts w:ascii="Arial" w:cs="Arial" w:eastAsia="Arial" w:hAnsi="Arial"/>
          <w:b/>
          <w:bCs/>
          <w:color w:val="1B2A4A"/>
          <w:sz w:val="24"/>
          <w:szCs w:val="24"/>
        </w:rPr>
        <w:t xml:space="preserve">7.1 Right to Know</w:t>
      </w:r>
    </w:p>
    <w:p>
      <w:pPr>
        <w:spacing w:after="100" w:before="60"/>
        <w:jc w:val="left"/>
      </w:pPr>
      <w:r>
        <w:rPr>
          <w:rFonts w:ascii="Arial" w:cs="Arial" w:eastAsia="Arial" w:hAnsi="Arial"/>
          <w:i w:val="false"/>
          <w:iCs w:val="false"/>
          <w:color w:val="000000"/>
          <w:sz w:val="20"/>
          <w:szCs w:val="20"/>
        </w:rPr>
        <w:t xml:space="preserve">You have the right to request disclosure of the categories and specific pieces of personal information we have collected about you, the sources of collection, the purposes for collection, and the categories of third parties with whom we share information.</w:t>
      </w:r>
    </w:p>
    <w:p>
      <w:pPr>
        <w:pStyle w:val="Heading2"/>
        <w:spacing w:after="80" w:before="280"/>
      </w:pPr>
      <w:r>
        <w:rPr>
          <w:rFonts w:ascii="Arial" w:cs="Arial" w:eastAsia="Arial" w:hAnsi="Arial"/>
          <w:b/>
          <w:bCs/>
          <w:color w:val="1B2A4A"/>
          <w:sz w:val="24"/>
          <w:szCs w:val="24"/>
        </w:rPr>
        <w:t xml:space="preserve">7.2 Right to Delete</w:t>
      </w:r>
    </w:p>
    <w:p>
      <w:pPr>
        <w:spacing w:after="100" w:before="60"/>
        <w:jc w:val="left"/>
      </w:pPr>
      <w:r>
        <w:rPr>
          <w:rFonts w:ascii="Arial" w:cs="Arial" w:eastAsia="Arial" w:hAnsi="Arial"/>
          <w:i w:val="false"/>
          <w:iCs w:val="false"/>
          <w:color w:val="000000"/>
          <w:sz w:val="20"/>
          <w:szCs w:val="20"/>
        </w:rPr>
        <w:t xml:space="preserve">You have the right to request deletion of personal information we have collected, subject to legal exceptions and the technical limitations described in Section 4.4.</w:t>
      </w:r>
    </w:p>
    <w:p>
      <w:pPr>
        <w:pStyle w:val="Heading2"/>
        <w:spacing w:after="80" w:before="280"/>
      </w:pPr>
      <w:r>
        <w:rPr>
          <w:rFonts w:ascii="Arial" w:cs="Arial" w:eastAsia="Arial" w:hAnsi="Arial"/>
          <w:b/>
          <w:bCs/>
          <w:color w:val="1B2A4A"/>
          <w:sz w:val="24"/>
          <w:szCs w:val="24"/>
        </w:rPr>
        <w:t xml:space="preserve">7.3 Right to Opt-Out of Sale</w:t>
      </w:r>
    </w:p>
    <w:p>
      <w:pPr>
        <w:spacing w:after="100" w:before="60"/>
        <w:jc w:val="left"/>
      </w:pPr>
      <w:r>
        <w:rPr>
          <w:rFonts w:ascii="Arial" w:cs="Arial" w:eastAsia="Arial" w:hAnsi="Arial"/>
          <w:i w:val="false"/>
          <w:iCs w:val="false"/>
          <w:color w:val="000000"/>
          <w:sz w:val="20"/>
          <w:szCs w:val="20"/>
        </w:rPr>
        <w:t xml:space="preserve">We do not sell personal information. You need not submit an opt-out request for data sales.</w:t>
      </w:r>
    </w:p>
    <w:p>
      <w:pPr>
        <w:pStyle w:val="Heading2"/>
        <w:spacing w:after="80" w:before="280"/>
      </w:pPr>
      <w:r>
        <w:rPr>
          <w:rFonts w:ascii="Arial" w:cs="Arial" w:eastAsia="Arial" w:hAnsi="Arial"/>
          <w:b/>
          <w:bCs/>
          <w:color w:val="1B2A4A"/>
          <w:sz w:val="24"/>
          <w:szCs w:val="24"/>
        </w:rPr>
        <w:t xml:space="preserve">7.4 Right to Non-Discrimination</w:t>
      </w:r>
    </w:p>
    <w:p>
      <w:pPr>
        <w:spacing w:after="100" w:before="60"/>
        <w:jc w:val="left"/>
      </w:pPr>
      <w:r>
        <w:rPr>
          <w:rFonts w:ascii="Arial" w:cs="Arial" w:eastAsia="Arial" w:hAnsi="Arial"/>
          <w:i w:val="false"/>
          <w:iCs w:val="false"/>
          <w:color w:val="000000"/>
          <w:sz w:val="20"/>
          <w:szCs w:val="20"/>
        </w:rPr>
        <w:t xml:space="preserve">We will not discriminate against you for exercising CCPA rights.</w:t>
      </w:r>
    </w:p>
    <w:p>
      <w:pPr>
        <w:pStyle w:val="Heading2"/>
        <w:spacing w:after="80" w:before="280"/>
      </w:pPr>
      <w:r>
        <w:rPr>
          <w:rFonts w:ascii="Arial" w:cs="Arial" w:eastAsia="Arial" w:hAnsi="Arial"/>
          <w:b/>
          <w:bCs/>
          <w:color w:val="1B2A4A"/>
          <w:sz w:val="24"/>
          <w:szCs w:val="24"/>
        </w:rPr>
        <w:t xml:space="preserve">7.5 Sensitive Personal Information</w:t>
      </w:r>
    </w:p>
    <w:p>
      <w:pPr>
        <w:spacing w:after="100" w:before="60"/>
        <w:jc w:val="left"/>
      </w:pPr>
      <w:r>
        <w:rPr>
          <w:rFonts w:ascii="Arial" w:cs="Arial" w:eastAsia="Arial" w:hAnsi="Arial"/>
          <w:i w:val="false"/>
          <w:iCs w:val="false"/>
          <w:color w:val="000000"/>
          <w:sz w:val="20"/>
          <w:szCs w:val="20"/>
        </w:rPr>
        <w:t xml:space="preserve">We do not collect sensitive personal information as defined under the CPRA beyond what is necessary to provide Platform services.</w:t>
      </w:r>
    </w:p>
    <w:p>
      <w:pPr>
        <w:spacing w:after="100" w:before="60"/>
        <w:jc w:val="left"/>
      </w:pPr>
      <w:r>
        <w:rPr>
          <w:rFonts w:ascii="Arial" w:cs="Arial" w:eastAsia="Arial" w:hAnsi="Arial"/>
          <w:i w:val="false"/>
          <w:iCs w:val="false"/>
          <w:color w:val="000000"/>
          <w:sz w:val="20"/>
          <w:szCs w:val="20"/>
        </w:rPr>
        <w:t xml:space="preserve">To exercise CCPA rights, submit a verifiable consumer request to: legal@proteeninjector.com.</w:t>
      </w:r>
    </w:p>
    <w:p>
      <w:pPr>
        <w:pStyle w:val="Heading1"/>
        <w:pBdr>
          <w:bottom w:val="single" w:color="2563EB" w:sz="4" w:space="6"/>
        </w:pBdr>
        <w:spacing w:after="120" w:before="360"/>
      </w:pPr>
      <w:r>
        <w:rPr>
          <w:rFonts w:ascii="Arial" w:cs="Arial" w:eastAsia="Arial" w:hAnsi="Arial"/>
          <w:b/>
          <w:bCs/>
          <w:color w:val="1B2A4A"/>
          <w:sz w:val="28"/>
          <w:szCs w:val="28"/>
        </w:rPr>
        <w:t xml:space="preserve">8. Security</w:t>
      </w:r>
    </w:p>
    <w:p>
      <w:pPr>
        <w:spacing w:after="100" w:before="60"/>
        <w:jc w:val="left"/>
      </w:pPr>
      <w:r>
        <w:rPr>
          <w:rFonts w:ascii="Arial" w:cs="Arial" w:eastAsia="Arial" w:hAnsi="Arial"/>
          <w:i w:val="false"/>
          <w:iCs w:val="false"/>
          <w:color w:val="000000"/>
          <w:sz w:val="20"/>
          <w:szCs w:val="20"/>
        </w:rPr>
        <w:t xml:space="preserve">We implement technical and organizational measures to protect personal data against unauthorized access, alteration, disclosure, or destruction. These measures include TLS encryption in transit, access controls on Cloudflare Workers environments, and cryptographic hashing of sensitive content.</w:t>
      </w:r>
    </w:p>
    <w:p>
      <w:pPr>
        <w:spacing w:after="100" w:before="60"/>
        <w:jc w:val="left"/>
      </w:pPr>
      <w:r>
        <w:rPr>
          <w:rFonts w:ascii="Arial" w:cs="Arial" w:eastAsia="Arial" w:hAnsi="Arial"/>
          <w:i w:val="false"/>
          <w:iCs w:val="false"/>
          <w:color w:val="000000"/>
          <w:sz w:val="20"/>
          <w:szCs w:val="20"/>
        </w:rPr>
        <w:t xml:space="preserve">No security system is impenetrable. The Company cannot guarantee the absolute security of personal data and is not responsible for breaches resulting from events beyond our reasonable control.</w:t>
      </w:r>
    </w:p>
    <w:p>
      <w:pPr>
        <w:pStyle w:val="Heading1"/>
        <w:pBdr>
          <w:bottom w:val="single" w:color="2563EB" w:sz="4" w:space="6"/>
        </w:pBdr>
        <w:spacing w:after="120" w:before="360"/>
      </w:pPr>
      <w:r>
        <w:rPr>
          <w:rFonts w:ascii="Arial" w:cs="Arial" w:eastAsia="Arial" w:hAnsi="Arial"/>
          <w:b/>
          <w:bCs/>
          <w:color w:val="1B2A4A"/>
          <w:sz w:val="28"/>
          <w:szCs w:val="28"/>
        </w:rPr>
        <w:t xml:space="preserve">9. International Transfers</w:t>
      </w:r>
    </w:p>
    <w:p>
      <w:pPr>
        <w:spacing w:after="100" w:before="60"/>
        <w:jc w:val="left"/>
      </w:pPr>
      <w:r>
        <w:rPr>
          <w:rFonts w:ascii="Arial" w:cs="Arial" w:eastAsia="Arial" w:hAnsi="Arial"/>
          <w:i w:val="false"/>
          <w:iCs w:val="false"/>
          <w:color w:val="000000"/>
          <w:sz w:val="20"/>
          <w:szCs w:val="20"/>
        </w:rPr>
        <w:t xml:space="preserve">The Platform is operated primarily within the United States. By using the Platform, you acknowledge that your data may be processed in the United States and in other countries where Cloudflare maintains infrastructure. We rely on standard contractual clauses or other legally recognized transfer mechanisms for transfers of EEA personal data to third countries.</w:t>
      </w:r>
    </w:p>
    <w:p>
      <w:pPr>
        <w:pStyle w:val="Heading1"/>
        <w:pBdr>
          <w:bottom w:val="single" w:color="2563EB" w:sz="4" w:space="6"/>
        </w:pBdr>
        <w:spacing w:after="120" w:before="360"/>
      </w:pPr>
      <w:r>
        <w:rPr>
          <w:rFonts w:ascii="Arial" w:cs="Arial" w:eastAsia="Arial" w:hAnsi="Arial"/>
          <w:b/>
          <w:bCs/>
          <w:color w:val="1B2A4A"/>
          <w:sz w:val="28"/>
          <w:szCs w:val="28"/>
        </w:rPr>
        <w:t xml:space="preserve">10. Children's Privacy</w:t>
      </w:r>
    </w:p>
    <w:p>
      <w:pPr>
        <w:spacing w:after="100" w:before="60"/>
        <w:jc w:val="left"/>
      </w:pPr>
      <w:r>
        <w:rPr>
          <w:rFonts w:ascii="Arial" w:cs="Arial" w:eastAsia="Arial" w:hAnsi="Arial"/>
          <w:i w:val="false"/>
          <w:iCs w:val="false"/>
          <w:color w:val="000000"/>
          <w:sz w:val="20"/>
          <w:szCs w:val="20"/>
        </w:rPr>
        <w:t xml:space="preserve">The Platform is restricted to users aged eighteen (18) and older. We do not knowingly collect personal data from individuals under the age of eighteen. If we become aware that a minor has used the Platform, we will take steps to delete associated data.</w:t>
      </w:r>
    </w:p>
    <w:p>
      <w:pPr>
        <w:pStyle w:val="Heading1"/>
        <w:pBdr>
          <w:bottom w:val="single" w:color="2563EB" w:sz="4" w:space="6"/>
        </w:pBdr>
        <w:spacing w:after="120" w:before="360"/>
      </w:pPr>
      <w:r>
        <w:rPr>
          <w:rFonts w:ascii="Arial" w:cs="Arial" w:eastAsia="Arial" w:hAnsi="Arial"/>
          <w:b/>
          <w:bCs/>
          <w:color w:val="1B2A4A"/>
          <w:sz w:val="28"/>
          <w:szCs w:val="28"/>
        </w:rPr>
        <w:t xml:space="preserve">11. Changes to This Policy</w:t>
      </w:r>
    </w:p>
    <w:p>
      <w:pPr>
        <w:spacing w:after="100" w:before="60"/>
        <w:jc w:val="left"/>
      </w:pPr>
      <w:r>
        <w:rPr>
          <w:rFonts w:ascii="Arial" w:cs="Arial" w:eastAsia="Arial" w:hAnsi="Arial"/>
          <w:i w:val="false"/>
          <w:iCs w:val="false"/>
          <w:color w:val="000000"/>
          <w:sz w:val="20"/>
          <w:szCs w:val="20"/>
        </w:rPr>
        <w:t xml:space="preserve">We may update this Policy from time to time. Material changes will be posted to the Platform with an updated effective date. Your continued use of the Platform after the posting of changes constitutes your acceptance of the updated Policy.</w:t>
      </w:r>
    </w:p>
    <w:p>
      <w:pPr>
        <w:pStyle w:val="Heading1"/>
        <w:pBdr>
          <w:bottom w:val="single" w:color="2563EB" w:sz="4" w:space="6"/>
        </w:pBdr>
        <w:spacing w:after="120" w:before="360"/>
      </w:pPr>
      <w:r>
        <w:rPr>
          <w:rFonts w:ascii="Arial" w:cs="Arial" w:eastAsia="Arial" w:hAnsi="Arial"/>
          <w:b/>
          <w:bCs/>
          <w:color w:val="1B2A4A"/>
          <w:sz w:val="28"/>
          <w:szCs w:val="28"/>
        </w:rPr>
        <w:t xml:space="preserve">12. Contact</w:t>
      </w:r>
    </w:p>
    <w:p>
      <w:pPr>
        <w:spacing w:after="100" w:before="60"/>
        <w:jc w:val="left"/>
      </w:pPr>
      <w:r>
        <w:rPr>
          <w:rFonts w:ascii="Arial" w:cs="Arial" w:eastAsia="Arial" w:hAnsi="Arial"/>
          <w:i w:val="false"/>
          <w:iCs w:val="false"/>
          <w:color w:val="000000"/>
          <w:sz w:val="20"/>
          <w:szCs w:val="20"/>
        </w:rPr>
        <w:t xml:space="preserve">For privacy-related inquiries, rights requests, or complaints, contact:</w:t>
      </w:r>
    </w:p>
    <w:p>
      <w:pPr>
        <w:spacing w:after="100" w:before="60"/>
      </w:pPr>
      <w:r>
        <w:rPr>
          <w:rFonts w:ascii="Arial" w:cs="Arial" w:eastAsia="Arial" w:hAnsi="Arial"/>
          <w:b/>
          <w:bCs/>
          <w:sz w:val="20"/>
          <w:szCs w:val="20"/>
        </w:rPr>
        <w:t xml:space="preserve">Proteeninjector, LLC — Privacy Officer</w:t>
      </w:r>
    </w:p>
    <w:p>
      <w:pPr>
        <w:spacing w:after="100" w:before="60"/>
        <w:jc w:val="left"/>
      </w:pPr>
      <w:r>
        <w:rPr>
          <w:rFonts w:ascii="Arial" w:cs="Arial" w:eastAsia="Arial" w:hAnsi="Arial"/>
          <w:i w:val="false"/>
          <w:iCs w:val="false"/>
          <w:color w:val="000000"/>
          <w:sz w:val="20"/>
          <w:szCs w:val="20"/>
        </w:rPr>
        <w:t xml:space="preserve">Email: legal@proteeninjector.com</w:t>
      </w:r>
    </w:p>
    <w:p>
      <w:pPr>
        <w:spacing w:after="100" w:before="60"/>
        <w:jc w:val="left"/>
      </w:pPr>
      <w:r>
        <w:rPr>
          <w:rFonts w:ascii="Arial" w:cs="Arial" w:eastAsia="Arial" w:hAnsi="Arial"/>
          <w:i w:val="false"/>
          <w:iCs w:val="false"/>
          <w:color w:val="000000"/>
          <w:sz w:val="20"/>
          <w:szCs w:val="20"/>
        </w:rPr>
        <w:t xml:space="preserve">Platform: happythoughts.proteeninjector.workers.dev</w:t>
      </w:r>
    </w:p>
    <w:p>
      <w:pPr>
        <w:spacing w:after="100" w:before="60"/>
        <w:jc w:val="left"/>
      </w:pPr>
      <w:r>
        <w:rPr>
          <w:rFonts w:ascii="Arial" w:cs="Arial" w:eastAsia="Arial" w:hAnsi="Arial"/>
          <w:i w:val="false"/>
          <w:iCs w:val="false"/>
          <w:color w:val="000000"/>
          <w:sz w:val="20"/>
          <w:szCs w:val="20"/>
        </w:rPr>
        <w:t xml:space="preserve">Jurisdiction: Arizona, United States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spacing w:before="80"/>
    </w:pPr>
    <w:r>
      <w:rPr>
        <w:rFonts w:ascii="Arial" w:cs="Arial" w:eastAsia="Arial" w:hAnsi="Arial"/>
        <w:color w:val="4B5563"/>
        <w:sz w:val="16"/>
        <w:szCs w:val="16"/>
      </w:rPr>
      <w:t xml:space="preserve">Proteeninjector, LLC — Privacy Policy</w:t>
    </w:r>
    <w:r>
      <w:rPr>
        <w:rFonts w:ascii="Arial" w:cs="Arial" w:eastAsia="Arial" w:hAnsi="Arial"/>
        <w:color w:val="4B5563"/>
        <w:sz w:val="16"/>
        <w:szCs w:val="16"/>
      </w:rPr>
      <w:t xml:space="preserve">	Page </w:t>
    </w:r>
    <w:fldSimple w:instr="PAGE">
      <w:r>
        <w:rPr>
          <w:rFonts w:ascii="Arial" w:cs="Arial" w:eastAsia="Arial" w:hAnsi="Arial"/>
          <w:color w:val="4B5563"/>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2026-03-22T03:07:05.222Z</dcterms:created>
  <dcterms:modified xsi:type="dcterms:W3CDTF">2026-03-22T03:07:05.222Z</dcterms:modified>
</cp:coreProperties>
</file>

<file path=docProps/custom.xml><?xml version="1.0" encoding="utf-8"?>
<Properties xmlns="http://schemas.openxmlformats.org/officeDocument/2006/custom-properties" xmlns:vt="http://schemas.openxmlformats.org/officeDocument/2006/docPropsVTypes"/>
</file>