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ADAR2 NES SD40 Linker 计算结果汇总</w:t>
      </w:r>
    </w:p>
    <w:p>
      <w:pPr>
        <w:jc w:val="center"/>
      </w:pPr>
      <w:r>
        <w:rPr>
          <w:b/>
        </w:rPr>
        <w:t>基于 11–20 Å 多距离设计、三模型结构预测、RMSD/Vina 门控与 SD40 几何评分</w:t>
      </w:r>
    </w:p>
    <w:p>
      <w:pPr>
        <w:jc w:val="center"/>
      </w:pPr>
      <w:r>
        <w:t>数据范围：匿名化全量结果档案  |  整理日期：2026-09-30</w:t>
      </w:r>
    </w:p>
    <w:p>
      <w:pPr>
        <w:pStyle w:val="Heading1"/>
      </w:pPr>
      <w:r>
        <w:t>执行摘要</w:t>
      </w:r>
    </w:p>
    <w:p>
      <w:r>
        <w:t>本次整理覆盖匿名提交包中的 13,013 条来源记录及归档中的补充结果文件。在线 MMseqs2 批次共获得 292 条去重 ProteinMPNN 设计序列，完成 588 个 Boltz-2 模型预测。采用 Linker Cα RMSD 严格小于 2.0 Å、至少 2/3 模型通过，以及 Vina 最佳分数不高于 -6.0 kcal/mol、至少 2/3 模型通过的门控。</w:t>
      </w:r>
    </w:p>
    <w:p>
      <w:r>
        <w:t>共有 22 个正式候选的最终分严格高于 GGGGSGGGGS 基线 24.1035。当前最高候选为 LRELLERLLT（15 Å），最终分 60.5687，高于基线 36.4652。</w:t>
      </w:r>
    </w:p>
    <w:p>
      <w:r>
        <w:t>这些结果支持候选优先级排序，但仍属于计算筛选证据。Vina 分数不等价于实验结合自由能，Ranker 是基于设定权重的几何复合指标，最终入选仍需表达、结合、编辑活性、定位与细胞毒性实验验证。</w:t>
      </w:r>
    </w:p>
    <w:p>
      <w:pPr>
        <w:pStyle w:val="Heading1"/>
      </w:pPr>
      <w:r>
        <w:t>研究设计与结果组织</w:t>
      </w:r>
    </w:p>
    <w:p>
      <w:r>
        <w:t>结果按文献常见的证据链组织：先说明研究设计和数据完整性，再展示跨候选标准化比较、三模型重复稳健性、结构与对接解释，最后给出综合候选分层、限制和验证路线。三篇参考文献仅用于结果呈现逻辑，不作为本项目数值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证据层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  <w:sz w:val="18"/>
        </w:rPr>
        <w:t>图 7  当前证据层级与下一步验证</w:t>
      </w:r>
    </w:p>
    <w:p>
      <w:pPr>
        <w:pStyle w:val="Heading1"/>
      </w:pPr>
      <w:r>
        <w:t>数据完整性与分析范围</w:t>
      </w:r>
    </w:p>
    <w:p>
      <w:r>
        <w:t>匿名包的 VALIDATION_REPORT 状态为 PASS；在线批次 11–20 Å 均包含 RFdiffusion、ProteinMPNN、序列 QC、Boltz-2、Linker RMSD、Vina 和 Ranker 阶段。归档中的两份补充 XLSX 与包内副本哈希一致。全部大体积结构、MSA 和日志文件通过相对路径、大小、SHA256、阶段和用途写入全量来源索引，并作为 GitHub Release 的分卷复现附件提供。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来源类别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文件数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总大小 GiB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Boltz-2/MSA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7035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5.23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ProteinMPNN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0.01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RFdiffusion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84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0.01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RMSD门控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217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0.00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SD40 Ranker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406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0.10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Vina对接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2323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0.14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其他原始产物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1461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4.88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完整性与复现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0.00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序列QC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77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0.00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汇总结果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97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0.02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运行日志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1008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0.01</w:t>
            </w:r>
          </w:p>
        </w:tc>
      </w:tr>
    </w:tbl>
    <w:p/>
    <w:p>
      <w:pPr>
        <w:pStyle w:val="Heading1"/>
      </w:pPr>
      <w:r>
        <w:t>筛选漏斗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距离筛选漏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  <w:sz w:val="18"/>
        </w:rPr>
        <w:t>图 1  11–20 Å 在线批次的候选筛选漏斗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距离 Å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RF骨架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MPNN去重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QC通过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Boltz候选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RMSD通过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Vina通过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Ranker模型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39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33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14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27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36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51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57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14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45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14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42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218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36</w:t>
            </w:r>
          </w:p>
        </w:tc>
      </w:tr>
    </w:tbl>
    <w:p/>
    <w:p>
      <w:pPr>
        <w:pStyle w:val="Heading1"/>
      </w:pPr>
      <w:r>
        <w:t>候选分数与基线比较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候选分数与基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  <w:sz w:val="18"/>
        </w:rPr>
        <w:t>图 2  正式评分候选与 GGGGSGGGGS 基线比较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头部候选排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  <w:sz w:val="18"/>
        </w:rPr>
        <w:t>图 3  优于基线的头部候选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距离 Å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Linker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最终分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较基线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Linker RMSD Å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Vina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SD40 RMSD Å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LRELLERLLT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60.5687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+36.4652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0.484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-6.30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4.306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LEELLEKLKP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59.7116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+35.6081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0.706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-6.30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4.025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EEEKAEEESK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59.4952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+35.3917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0.402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-6.60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4.291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EEELEKALSE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57.4788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+33.3753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0.465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-6.90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4.141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LEEILRKLRE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55.5929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+31.4894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0.450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-6.00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4.335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LEELLKKLSE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54.7321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+30.6286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0.516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-6.20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3.980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DELRREKEEK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50.9843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+26.8808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0.772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-6.10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4.401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EEKRREEEKE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48.9506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+24.8471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0.457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-7.10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4.406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19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EEPLRKLLEQ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33.3418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+9.2383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0.385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-7.80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4.640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16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EELLEELEKE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29.6744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+5.5709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0.944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-7.20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3.136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18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EELLKKLLDE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28.5511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+4.4476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0.342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-7.30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4.413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12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EEVTELGETT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28.5037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+4.4002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1.904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-7.50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3.020</w:t>
            </w:r>
          </w:p>
        </w:tc>
      </w:tr>
    </w:tbl>
    <w:p/>
    <w:p>
      <w:pPr>
        <w:pStyle w:val="Heading1"/>
      </w:pPr>
      <w:r>
        <w:t>三模型稳健性与门控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RMSD与Vina通过率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  <w:sz w:val="18"/>
        </w:rPr>
        <w:t>图 4  Linker RMSD 与 Vina 候选通过率</w:t>
      </w:r>
    </w:p>
    <w:p>
      <w:r>
        <w:t>RMSD 采用每个候选的三个 Boltz-2 模型分别判定，单模型 Linker Cα RMSD 必须严格小于 2.0 Å；候选至少 2/3 模型通过。Vina 同样按模型判定，在线批次阈值为不高于 -6.0 kcal/mol，候选至少 2/3 模型通过。最终分取三个 Ranker 模型总分的中位数，以降低单个结构预测的偶然性。</w:t>
      </w:r>
    </w:p>
    <w:p>
      <w:pPr>
        <w:pStyle w:val="Heading1"/>
      </w:pPr>
      <w:r>
        <w:t>序列组成与质量控制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序列组成与Q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  <w:sz w:val="18"/>
        </w:rPr>
        <w:t>图 5  Linker 序列组成与 QC 概览</w:t>
      </w:r>
    </w:p>
    <w:p>
      <w:r>
        <w:t>序列 QC 表保留了 K/R 比例、疏水比例、净电荷和失败原因，可用于识别过强正电、过度疏水或其他不利组成。图中展示各距离的整体分布，不应以单一组成指标替代结构和功能证据。</w:t>
      </w:r>
    </w:p>
    <w:p>
      <w:pPr>
        <w:pStyle w:val="Heading1"/>
      </w:pPr>
      <w:r>
        <w:t>16 Å 批次敏感性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16A批次敏感性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  <w:sz w:val="18"/>
        </w:rPr>
        <w:t>图 6  早期单序列 MSA 与后期在线 MMseqs2 的 16 Å 批次比较</w:t>
      </w:r>
    </w:p>
    <w:p>
      <w:r>
        <w:t>早期 16 Å 批次使用本地单序列 A3M，Vina 阈值为不高于 -7.0 kcal/mol，基线分 17.0274；后期 16 Å 重跑使用在线 MMseqs2 MSA，Vina 阈值为不高于 -6.0 kcal/mol，基线分 24.1035。由于 MSA 来源和筛选阈值同时变化，两个批次只能用于流程敏感性分析，不能解释为距离效应。跨距离主比较统一采用后期在线批次。</w:t>
      </w:r>
    </w:p>
    <w:p>
      <w:r>
        <w:br w:type="page"/>
      </w:r>
    </w:p>
    <w:p>
      <w:pPr>
        <w:pStyle w:val="Heading1"/>
      </w:pPr>
      <w:r>
        <w:t>综合候选分层</w:t>
      </w:r>
    </w:p>
    <w:p>
      <w:r>
        <w:t>建议把候选分为三级。一级候选同时满足：最终分高于基线、RMSD 与 Vina 均至少 2/3 通过、三模型分数离散较小、序列 QC 通过；二级候选满足硬门控但存在某一项边缘指标；三级候选保留为机制或序列多样性备选。派生工作簿保留所有候选和逐模型字段，便于按不同实验优先级重新筛选。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优先级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距离 Å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Linker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最终分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RMSD通过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Vina通过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QC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LRELLERLLT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60.5687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LEELLEKLKP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59.7116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EEEKAEEESK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59.4952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EEELEKALSE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57.4788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LEEILRKLRE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55.5929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LEELLKKLSE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54.7321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7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15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DELRREKEEK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50.9843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8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20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EEKRREEEKE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48.9506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9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19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EEPLRKLLEQ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33.3418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10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16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EELLEELEKE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29.6744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3/3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通过</w:t>
            </w:r>
          </w:p>
        </w:tc>
      </w:tr>
    </w:tbl>
    <w:p/>
    <w:p>
      <w:pPr>
        <w:pStyle w:val="Heading1"/>
      </w:pPr>
      <w:r>
        <w:t>方法与参数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项目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设置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结构骨架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RFdiffusion，每个目标距离 3 个 backbone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序列设计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ProteinMPNN，每个距离请求 30 条，结果按唯一序列统计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结构预测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Boltz-2，每候选 3 个模型；在线批次使用 MMseqs2 MSA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RMSD门控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Linker Cα RMSD &lt; 2.0 Å；至少 2/3 模型通过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Vina门控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在线批次最佳分数 ≤ -6.0 kcal/mol；至少 2/3 模型通过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Ranker模型分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100 × (0.3×S_RMSD + 0.3×S_contact + 0.4×S_clash)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候选最终分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三个 Boltz-2 模型 Ranker 总分的中位数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对照</w:t>
            </w:r>
          </w:p>
        </w:tc>
        <w:tc>
          <w:tcPr>
            <w:tcW w:type="dxa" w:w="5953"/>
          </w:tcPr>
          <w:p>
            <w:r>
              <w:rPr>
                <w:rFonts w:ascii="Microsoft YaHei" w:hAnsi="Microsoft YaHei" w:eastAsia="微软雅黑"/>
                <w:b w:val="0"/>
                <w:sz w:val="17"/>
              </w:rPr>
              <w:t>GGGGSGGGGS；在线批次基线 24.1035</w:t>
            </w:r>
          </w:p>
        </w:tc>
      </w:tr>
    </w:tbl>
    <w:p/>
    <w:p>
      <w:pPr>
        <w:pStyle w:val="Heading1"/>
      </w:pPr>
      <w:r>
        <w:t>限制与下一步</w:t>
      </w:r>
    </w:p>
    <w:p>
      <w:pPr>
        <w:pStyle w:val="ListBullet"/>
      </w:pPr>
      <w:r>
        <w:t>Boltz-2 单序列或 MSA 质量会影响结构置信度；模型间一致性可降低但不能消除该不确定性。</w:t>
      </w:r>
    </w:p>
    <w:p>
      <w:pPr>
        <w:pStyle w:val="ListBullet"/>
      </w:pPr>
      <w:r>
        <w:t>Linker RMSD 衡量与 RFdiffusion 骨架的一致性，不直接等价于功能保持或真实构象分布。</w:t>
      </w:r>
    </w:p>
    <w:p>
      <w:pPr>
        <w:pStyle w:val="ListBullet"/>
      </w:pPr>
      <w:r>
        <w:t>Vina 是近似打分；当前阈值是流程门控，不应解释为实验结合常数。</w:t>
      </w:r>
    </w:p>
    <w:p>
      <w:pPr>
        <w:pStyle w:val="ListBullet"/>
      </w:pPr>
      <w:r>
        <w:t>Ranker 权重属于预设决策函数，候选排序需通过权重敏感性和实验数据校准。</w:t>
      </w:r>
    </w:p>
    <w:p>
      <w:pPr>
        <w:pStyle w:val="ListBullet"/>
      </w:pPr>
      <w:r>
        <w:t>下一步应优先验证一级候选，并保留基线、空白连接和代表性失败候选作为对照。</w:t>
      </w:r>
    </w:p>
    <w:p>
      <w:pPr>
        <w:pStyle w:val="Heading1"/>
      </w:pPr>
      <w:r>
        <w:t>数据可用性与复现</w:t>
      </w:r>
    </w:p>
    <w:p>
      <w:r>
        <w:t>本报告的主表和图均由匿名化全量结果档案重建。主仓库提供可直接浏览的报告、表格、图、最终结构、代码与关键日志；GitHub Release 提供 11 个完整复现分卷及统一 SHA256 清单。完整相对路径和 SHA256 位于 06_全量来源索引。第三方预训练权重、Conda 环境和软件缓存不随提交包分发，应按官方来源另行获取。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AI-redesigned starting points and outcomes enhance protein evolution</w:t>
      </w:r>
    </w:p>
    <w:p>
      <w:pPr>
        <w:pStyle w:val="ListNumber"/>
      </w:pPr>
      <w:r>
        <w:t>Design, construction and characterization of a set</w:t>
      </w:r>
    </w:p>
    <w:p>
      <w:pPr>
        <w:pStyle w:val="ListNumber"/>
      </w:pPr>
      <w:r>
        <w:t>PottsMPNN</w:t>
      </w:r>
    </w:p>
    <w:sectPr w:rsidR="00FC693F" w:rsidRPr="0006063C" w:rsidSect="00034616">
      <w:pgSz w:w="12240" w:h="15840"/>
      <w:pgMar w:top="1134" w:right="1247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ADAR2 NES SD40 Linker Design Computational Results</dc:title>
  <dc:subject>Anonymous computational design report</dc:subject>
  <dc:creator>Anonymous competition team</dc:creator>
  <cp:keywords>ADAR2, SD40, linker, RFdiffusion, ProteinMPNN, Boltz-2</cp:keywords>
  <dc:description>generated by python-docx</dc:description>
  <cp:lastModifiedBy>Anonymous competition team</cp:lastModifiedBy>
  <cp:revision>1</cp:revision>
  <dcterms:created xsi:type="dcterms:W3CDTF">2013-12-23T23:15:00Z</dcterms:created>
  <dcterms:modified xsi:type="dcterms:W3CDTF">2013-12-23T23:15:00Z</dcterms:modified>
  <cp:category/>
</cp:coreProperties>
</file>