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Scientific Status Report</w:t>
        <w:br/>
        <w:t>UQCF-GEM / Pre-Pruning Response Program</w:t>
      </w:r>
    </w:p>
    <w:p>
      <w:pPr>
        <w:jc w:val="center"/>
      </w:pPr>
      <w:r>
        <w:rPr>
          <w:b/>
        </w:rPr>
        <w:t>Updated August 1, 2026</w:t>
      </w:r>
      <w:r>
        <w:br/>
        <w:t>Including exact symmetrized Codazzi susceptibility theorem and executable verification package</w:t>
      </w:r>
    </w:p>
    <w:p>
      <w:pPr>
        <w:jc w:val="center"/>
      </w:pPr>
      <w:r>
        <w:rPr>
          <w:i/>
        </w:rPr>
        <w:t>Status classification: internal scientific report suitable for expert review; not a claim of physical gravity derivation.</w:t>
      </w:r>
    </w:p>
    <w:p>
      <w:pPr>
        <w:pStyle w:val="Heading1"/>
      </w:pPr>
      <w:r>
        <w:t>1. Executive Summary</w:t>
      </w:r>
    </w:p>
    <w:p>
      <w:r>
        <w:t>The program has now produced a coherent and reproducible mathematical branch concerning canonical local BKM score extraction, covariance-defined reciprocal response maps, scalar-sector compatibility, loop-algebra obstruction, and state-level non-potential response geometry. The newest milestone upgrades the bidirectionally symmetrized Codazzi susceptibility from numerical asymptotics to an exact finite-model theorem.</w:t>
      </w:r>
    </w:p>
    <w:p>
      <w:r>
        <w:t>The central exact result is that the spin-flip-symmetric point of the smallest three-binary-node interacting model is pointwise Codazzi closed, yet its field susceptibility is full rank for weak nonzero coupling. Consequently, every nonzero infinitesimal field bias activates non-potential response at quadratic order in the interaction strength.</w:t>
      </w:r>
    </w:p>
    <w:p>
      <w:pPr>
        <w:jc w:val="center"/>
      </w:pPr>
      <w:r>
        <w:rPr>
          <w:rFonts w:ascii="Cambria Math" w:hAnsi="Cambria Math"/>
          <w:sz w:val="21"/>
        </w:rPr>
        <w:t>D_h I_sym |_(h=0) = J^2 [[0, 1], [-1, 0]] + O(J^3).</w:t>
      </w:r>
    </w:p>
    <w:p>
      <w:r>
        <w:t>This establishes a genuine separation between potential information geometry, represented by Hessian BKM structure, and response information geometry, represented by a canonical pulled-back tensor whose Codazzi defect is generically nonzero. The result is exact for the stated finite model. It does not establish physical gravity, spacetime curvature, Einstein dynamics, or ADM closure.</w:t>
      </w:r>
    </w:p>
    <w:p>
      <w:pPr>
        <w:pStyle w:val="Heading1"/>
      </w:pPr>
      <w:r>
        <w:t>2. Current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Research area</w:t>
            </w:r>
          </w:p>
        </w:tc>
        <w:tc>
          <w:tcPr>
            <w:tcW w:type="dxa" w:w="2520"/>
            <w:shd w:fill="D9EAF7"/>
          </w:tcPr>
          <w:p>
            <w:r>
              <w:t>Prior status</w:t>
            </w:r>
          </w:p>
        </w:tc>
        <w:tc>
          <w:tcPr>
            <w:tcW w:type="dxa" w:w="2520"/>
            <w:shd w:fill="D9EAF7"/>
          </w:tcPr>
          <w:p>
            <w:r>
              <w:t>Updated status</w:t>
            </w:r>
          </w:p>
        </w:tc>
        <w:tc>
          <w:tcPr>
            <w:tcW w:type="dxa" w:w="2520"/>
            <w:shd w:fill="D9EAF7"/>
          </w:tcPr>
          <w:p>
            <w:r>
              <w:t>Assessment</w:t>
            </w:r>
          </w:p>
        </w:tc>
      </w:tr>
      <w:tr>
        <w:tc>
          <w:tcPr>
            <w:tcW w:type="dxa" w:w="2520"/>
            <w:vAlign w:val="center"/>
          </w:tcPr>
          <w:p>
            <w:r>
              <w:t>Admissibility / convex geometry</w:t>
            </w:r>
          </w:p>
        </w:tc>
        <w:tc>
          <w:tcPr>
            <w:tcW w:type="dxa" w:w="2520"/>
            <w:vAlign w:val="center"/>
          </w:tcPr>
          <w:p>
            <w:r>
              <w:t>99%</w:t>
            </w:r>
          </w:p>
        </w:tc>
        <w:tc>
          <w:tcPr>
            <w:tcW w:type="dxa" w:w="2520"/>
            <w:vAlign w:val="center"/>
          </w:tcPr>
          <w:p>
            <w:r>
              <w:t>99%</w:t>
            </w:r>
          </w:p>
        </w:tc>
        <w:tc>
          <w:tcPr>
            <w:tcW w:type="dxa" w:w="2520"/>
            <w:vAlign w:val="center"/>
          </w:tcPr>
          <w:p>
            <w:r>
              <w:t>Stable foundation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Canonical local BKM source map</w:t>
            </w:r>
          </w:p>
        </w:tc>
        <w:tc>
          <w:tcPr>
            <w:tcW w:type="dxa" w:w="2520"/>
            <w:vAlign w:val="center"/>
          </w:tcPr>
          <w:p>
            <w:r>
              <w:t>96%</w:t>
            </w:r>
          </w:p>
        </w:tc>
        <w:tc>
          <w:tcPr>
            <w:tcW w:type="dxa" w:w="2520"/>
            <w:vAlign w:val="center"/>
          </w:tcPr>
          <w:p>
            <w:r>
              <w:t>98%</w:t>
            </w:r>
          </w:p>
        </w:tc>
        <w:tc>
          <w:tcPr>
            <w:tcW w:type="dxa" w:w="2520"/>
            <w:vAlign w:val="center"/>
          </w:tcPr>
          <w:p>
            <w:r>
              <w:t>Closed on faithful marginals</w:t>
            </w:r>
          </w:p>
        </w:tc>
      </w:tr>
      <w:tr>
        <w:tc>
          <w:tcPr>
            <w:tcW w:type="dxa" w:w="2520"/>
            <w:vAlign w:val="center"/>
          </w:tcPr>
          <w:p>
            <w:r>
              <w:t>Intrinsic reciprocal edge response</w:t>
            </w:r>
          </w:p>
        </w:tc>
        <w:tc>
          <w:tcPr>
            <w:tcW w:type="dxa" w:w="2520"/>
            <w:vAlign w:val="center"/>
          </w:tcPr>
          <w:p>
            <w:r>
              <w:t>97%</w:t>
            </w:r>
          </w:p>
        </w:tc>
        <w:tc>
          <w:tcPr>
            <w:tcW w:type="dxa" w:w="2520"/>
            <w:vAlign w:val="center"/>
          </w:tcPr>
          <w:p>
            <w:r>
              <w:t>98%</w:t>
            </w:r>
          </w:p>
        </w:tc>
        <w:tc>
          <w:tcPr>
            <w:tcW w:type="dxa" w:w="2520"/>
            <w:vAlign w:val="center"/>
          </w:tcPr>
          <w:p>
            <w:r>
              <w:t>Exact finite-model construction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Pruning-repair theory</w:t>
            </w:r>
          </w:p>
        </w:tc>
        <w:tc>
          <w:tcPr>
            <w:tcW w:type="dxa" w:w="2520"/>
            <w:vAlign w:val="center"/>
          </w:tcPr>
          <w:p>
            <w:r>
              <w:t>84%</w:t>
            </w:r>
          </w:p>
        </w:tc>
        <w:tc>
          <w:tcPr>
            <w:tcW w:type="dxa" w:w="2520"/>
            <w:vAlign w:val="center"/>
          </w:tcPr>
          <w:p>
            <w:r>
              <w:t>84%</w:t>
            </w:r>
          </w:p>
        </w:tc>
        <w:tc>
          <w:tcPr>
            <w:tcW w:type="dxa" w:w="2520"/>
            <w:vAlign w:val="center"/>
          </w:tcPr>
          <w:p>
            <w:r>
              <w:t>No change in this update</w:t>
            </w:r>
          </w:p>
        </w:tc>
      </w:tr>
      <w:tr>
        <w:tc>
          <w:tcPr>
            <w:tcW w:type="dxa" w:w="2520"/>
            <w:vAlign w:val="center"/>
          </w:tcPr>
          <w:p>
            <w:r>
              <w:t>Universal scalar-sector mathematics</w:t>
            </w:r>
          </w:p>
        </w:tc>
        <w:tc>
          <w:tcPr>
            <w:tcW w:type="dxa" w:w="2520"/>
            <w:vAlign w:val="center"/>
          </w:tcPr>
          <w:p>
            <w:r>
              <w:t>72%</w:t>
            </w:r>
          </w:p>
        </w:tc>
        <w:tc>
          <w:tcPr>
            <w:tcW w:type="dxa" w:w="2520"/>
            <w:vAlign w:val="center"/>
          </w:tcPr>
          <w:p>
            <w:r>
              <w:t>76%</w:t>
            </w:r>
          </w:p>
        </w:tc>
        <w:tc>
          <w:tcPr>
            <w:tcW w:type="dxa" w:w="2520"/>
            <w:vAlign w:val="center"/>
          </w:tcPr>
          <w:p>
            <w:r>
              <w:t>Compatibility hierarchy sharpened</w:t>
            </w:r>
          </w:p>
        </w:tc>
      </w:tr>
      <w:tr>
        <w:tc>
          <w:tcPr>
            <w:tcW w:type="dxa" w:w="2520"/>
            <w:vAlign w:val="center"/>
          </w:tcPr>
          <w:p>
            <w:r>
              <w:t>Loop/projective obstruction theory</w:t>
            </w:r>
          </w:p>
        </w:tc>
        <w:tc>
          <w:tcPr>
            <w:tcW w:type="dxa" w:w="2520"/>
            <w:vAlign w:val="center"/>
          </w:tcPr>
          <w:p>
            <w:r>
              <w:t>76%</w:t>
            </w:r>
          </w:p>
        </w:tc>
        <w:tc>
          <w:tcPr>
            <w:tcW w:type="dxa" w:w="2520"/>
            <w:vAlign w:val="center"/>
          </w:tcPr>
          <w:p>
            <w:r>
              <w:t>79%</w:t>
            </w:r>
          </w:p>
        </w:tc>
        <w:tc>
          <w:tcPr>
            <w:tcW w:type="dxa" w:w="2520"/>
            <w:vAlign w:val="center"/>
          </w:tcPr>
          <w:p>
            <w:r>
              <w:t>Irreducible-algebra no-go retained</w:t>
            </w:r>
          </w:p>
        </w:tc>
      </w:tr>
      <w:tr>
        <w:tc>
          <w:tcPr>
            <w:tcW w:type="dxa" w:w="2520"/>
            <w:vAlign w:val="center"/>
          </w:tcPr>
          <w:p>
            <w:r>
              <w:t>State-level non-potential response</w:t>
            </w:r>
          </w:p>
        </w:tc>
        <w:tc>
          <w:tcPr>
            <w:tcW w:type="dxa" w:w="2520"/>
            <w:vAlign w:val="center"/>
          </w:tcPr>
          <w:p>
            <w:r>
              <w:t>82%</w:t>
            </w:r>
          </w:p>
        </w:tc>
        <w:tc>
          <w:tcPr>
            <w:tcW w:type="dxa" w:w="2520"/>
            <w:vAlign w:val="center"/>
          </w:tcPr>
          <w:p>
            <w:r>
              <w:t>91%</w:t>
            </w:r>
          </w:p>
        </w:tc>
        <w:tc>
          <w:tcPr>
            <w:tcW w:type="dxa" w:w="2520"/>
            <w:vAlign w:val="center"/>
          </w:tcPr>
          <w:p>
            <w:r>
              <w:t>Exact symmetrized susceptibility theorem</w:t>
            </w:r>
          </w:p>
        </w:tc>
      </w:tr>
      <w:tr>
        <w:tc>
          <w:tcPr>
            <w:tcW w:type="dxa" w:w="2520"/>
            <w:vAlign w:val="center"/>
          </w:tcPr>
          <w:p>
            <w:r>
              <w:t>Reproducibility / verification</w:t>
            </w:r>
          </w:p>
        </w:tc>
        <w:tc>
          <w:tcPr>
            <w:tcW w:type="dxa" w:w="2520"/>
            <w:vAlign w:val="center"/>
          </w:tcPr>
          <w:p>
            <w:r>
              <w:t>88%</w:t>
            </w:r>
          </w:p>
        </w:tc>
        <w:tc>
          <w:tcPr>
            <w:tcW w:type="dxa" w:w="2520"/>
            <w:vAlign w:val="center"/>
          </w:tcPr>
          <w:p>
            <w:r>
              <w:t>93%</w:t>
            </w:r>
          </w:p>
        </w:tc>
        <w:tc>
          <w:tcPr>
            <w:tcW w:type="dxa" w:w="2520"/>
            <w:vAlign w:val="center"/>
          </w:tcPr>
          <w:p>
            <w:r>
              <w:t>Executable high-precision harness delivered</w:t>
            </w:r>
          </w:p>
        </w:tc>
      </w:tr>
      <w:tr>
        <w:tc>
          <w:tcPr>
            <w:tcW w:type="dxa" w:w="2520"/>
            <w:vAlign w:val="center"/>
          </w:tcPr>
          <w:p>
            <w:r>
              <w:t>Canonical provenance potential</w:t>
            </w:r>
          </w:p>
        </w:tc>
        <w:tc>
          <w:tcPr>
            <w:tcW w:type="dxa" w:w="2520"/>
            <w:vAlign w:val="center"/>
          </w:tcPr>
          <w:p>
            <w:r>
              <w:t>32%</w:t>
            </w:r>
          </w:p>
        </w:tc>
        <w:tc>
          <w:tcPr>
            <w:tcW w:type="dxa" w:w="2520"/>
            <w:vAlign w:val="center"/>
          </w:tcPr>
          <w:p>
            <w:r>
              <w:t>28%</w:t>
            </w:r>
          </w:p>
        </w:tc>
        <w:tc>
          <w:tcPr>
            <w:tcW w:type="dxa" w:w="2520"/>
            <w:vAlign w:val="center"/>
          </w:tcPr>
          <w:p>
            <w:r>
              <w:t>Generic finite-model closure rejected</w:t>
            </w:r>
          </w:p>
        </w:tc>
      </w:tr>
      <w:tr>
        <w:tc>
          <w:tcPr>
            <w:tcW w:type="dxa" w:w="2520"/>
            <w:vAlign w:val="center"/>
          </w:tcPr>
          <w:p>
            <w:r>
              <w:t>Bridge to physical gravity</w:t>
            </w:r>
          </w:p>
        </w:tc>
        <w:tc>
          <w:tcPr>
            <w:tcW w:type="dxa" w:w="2520"/>
            <w:vAlign w:val="center"/>
          </w:tcPr>
          <w:p>
            <w:r>
              <w:t>38%</w:t>
            </w:r>
          </w:p>
        </w:tc>
        <w:tc>
          <w:tcPr>
            <w:tcW w:type="dxa" w:w="2520"/>
            <w:vAlign w:val="center"/>
          </w:tcPr>
          <w:p>
            <w:r>
              <w:t>39%</w:t>
            </w:r>
          </w:p>
        </w:tc>
        <w:tc>
          <w:tcPr>
            <w:tcW w:type="dxa" w:w="2520"/>
            <w:vAlign w:val="center"/>
          </w:tcPr>
          <w:p>
            <w:r>
              <w:t>Only marginal improvement</w:t>
            </w:r>
          </w:p>
        </w:tc>
      </w:tr>
      <w:tr>
        <w:tc>
          <w:tcPr>
            <w:tcW w:type="dxa" w:w="2520"/>
            <w:vAlign w:val="center"/>
          </w:tcPr>
          <w:p>
            <w:r>
              <w:t>ADM / Einstein correspondence</w:t>
            </w:r>
          </w:p>
        </w:tc>
        <w:tc>
          <w:tcPr>
            <w:tcW w:type="dxa" w:w="2520"/>
            <w:vAlign w:val="center"/>
          </w:tcPr>
          <w:p>
            <w:r>
              <w:t>15%</w:t>
            </w:r>
          </w:p>
        </w:tc>
        <w:tc>
          <w:tcPr>
            <w:tcW w:type="dxa" w:w="2520"/>
            <w:vAlign w:val="center"/>
          </w:tcPr>
          <w:p>
            <w:r>
              <w:t>15%</w:t>
            </w:r>
          </w:p>
        </w:tc>
        <w:tc>
          <w:tcPr>
            <w:tcW w:type="dxa" w:w="2520"/>
            <w:vAlign w:val="center"/>
          </w:tcPr>
          <w:p>
            <w:r>
              <w:t>Still open</w:t>
            </w:r>
          </w:p>
        </w:tc>
      </w:tr>
    </w:tbl>
    <w:p>
      <w:pPr>
        <w:pStyle w:val="Heading1"/>
      </w:pPr>
      <w:r>
        <w:t>3. Newly Certified Theorem</w:t>
      </w:r>
    </w:p>
    <w:p>
      <w:pPr>
        <w:pStyle w:val="Heading2"/>
      </w:pPr>
      <w:r>
        <w:t>3.1 Frozen model</w:t>
      </w:r>
    </w:p>
    <w:p>
      <w:r>
        <w:t>The model is the exact three-spin exponential family</w:t>
      </w:r>
    </w:p>
    <w:p>
      <w:pPr>
        <w:jc w:val="center"/>
      </w:pPr>
      <w:r>
        <w:rPr>
          <w:rFonts w:ascii="Cambria Math" w:hAnsi="Cambria Math"/>
          <w:sz w:val="21"/>
        </w:rPr>
        <w:t>p(x) ∝ exp[h1 x1 + h2 x2 + J(x1 x2 + x2 x3 + x3 x1)],  xi ∈ {-1,+1},  h3 = 0.</w:t>
      </w:r>
    </w:p>
    <w:p>
      <w:r>
        <w:t>The state leaf uses exponential-affine coordinates (h1,h2). Each local binary marginal carries its Fisher/BKM metric. Global state tangents are mapped canonically to local score observables through the inverse Kubo-Mori map applied to marginal tangents.</w:t>
      </w:r>
    </w:p>
    <w:p>
      <w:pPr>
        <w:jc w:val="center"/>
      </w:pPr>
      <w:r>
        <w:rPr>
          <w:rFonts w:ascii="Cambria Math" w:hAnsi="Cambria Math"/>
          <w:sz w:val="21"/>
        </w:rPr>
        <w:t>S_(rho,i)(X) = K_(rho_i)^(-1)(Tr_(not i) X).</w:t>
      </w:r>
    </w:p>
    <w:p>
      <w:pPr>
        <w:pStyle w:val="Heading2"/>
      </w:pPr>
      <w:r>
        <w:t>3.2 Bidirectionally symmetrized response tensor</w:t>
      </w:r>
    </w:p>
    <w:p>
      <w:r>
        <w:t>For each undirected edge, both reciprocal orientations are included with equal weight. Writing vi = Var(xi), cij = Cov(xi,xj), and si,a = cia/vi, the pulled-back tensor is</w:t>
      </w:r>
    </w:p>
    <w:p>
      <w:pPr>
        <w:jc w:val="center"/>
      </w:pPr>
      <w:r>
        <w:rPr>
          <w:rFonts w:ascii="Cambria Math" w:hAnsi="Cambria Math"/>
          <w:sz w:val="21"/>
        </w:rPr>
        <w:t>M_sym,ab = 1/2 Σ_{ {i,j} } cij^2 [ si,a si,b / vj + sj,a sj,b / vi ].</w:t>
      </w:r>
    </w:p>
    <w:p>
      <w:r>
        <w:t>This construction uses exact state enumeration, canonical score extraction, covariance-defined response, endpoint Fisher/BKM metrics, and reciprocity symmetrization. No arbitrary response matrices or source injections enter.</w:t>
      </w:r>
    </w:p>
    <w:p>
      <w:pPr>
        <w:pStyle w:val="Heading2"/>
      </w:pPr>
      <w:r>
        <w:t>3.3 Exact susceptibility</w:t>
      </w:r>
    </w:p>
    <w:p>
      <w:r>
        <w:t>At the unbiased point h1=h2=0, global spin-flip symmetry forces the Codazzi defect to vanish pointwise. Define the field susceptibility</w:t>
      </w:r>
    </w:p>
    <w:p>
      <w:pPr>
        <w:jc w:val="center"/>
      </w:pPr>
      <w:r>
        <w:rPr>
          <w:rFonts w:ascii="Cambria Math" w:hAnsi="Cambria Math"/>
          <w:sz w:val="21"/>
        </w:rPr>
        <w:t>Xi_sym(J) = ∂(I_sym,121, I_sym,122) / ∂(h1,h2) evaluated at h1=h2=0.</w:t>
      </w:r>
    </w:p>
    <w:p>
      <w:r>
        <w:t>The exact symbolic result is</w:t>
      </w:r>
    </w:p>
    <w:p>
      <w:pPr>
        <w:jc w:val="center"/>
      </w:pPr>
      <w:r>
        <w:rPr>
          <w:rFonts w:ascii="Cambria Math" w:hAnsi="Cambria Math"/>
          <w:sz w:val="21"/>
        </w:rPr>
        <w:t>Xi_sym(J) = [[-A(J), B(J)], [-B(J), A(J)]],</w:t>
      </w:r>
    </w:p>
    <w:p>
      <w:r>
        <w:t>with</w:t>
      </w:r>
    </w:p>
    <w:p>
      <w:pPr>
        <w:jc w:val="center"/>
      </w:pPr>
      <w:r>
        <w:rPr>
          <w:rFonts w:ascii="Cambria Math" w:hAnsi="Cambria Math"/>
          <w:sz w:val="21"/>
        </w:rPr>
        <w:t>A(J) = 8(e^J-1)^3(e^J+1)^3(e^(2J)+1)^3(7e^(4J)+1) / (e^(4J)+3)^5,</w:t>
      </w:r>
    </w:p>
    <w:p>
      <w:pPr>
        <w:jc w:val="center"/>
      </w:pPr>
      <w:r>
        <w:rPr>
          <w:rFonts w:ascii="Cambria Math" w:hAnsi="Cambria Math"/>
          <w:sz w:val="21"/>
        </w:rPr>
        <w:t>B(J) = 32(e^J-1)^2(e^J+1)^2(e^(2J)+1)^2(e^(8J)+2e^(4J)+5)e^(4J) / (e^(4J)+3)^6.</w:t>
      </w:r>
    </w:p>
    <w:p>
      <w:r>
        <w:t>Their weak-coupling expansions are</w:t>
      </w:r>
    </w:p>
    <w:p>
      <w:pPr>
        <w:jc w:val="center"/>
      </w:pPr>
      <w:r>
        <w:rPr>
          <w:rFonts w:ascii="Cambria Math" w:hAnsi="Cambria Math"/>
          <w:sz w:val="21"/>
        </w:rPr>
        <w:t>A(J) = 4J^3 + O(J^4),    B(J) = J^2 + 4J^3 + O(J^4).</w:t>
      </w:r>
    </w:p>
    <w:p>
      <w:r>
        <w:t>Therefore</w:t>
      </w:r>
    </w:p>
    <w:p>
      <w:pPr>
        <w:jc w:val="center"/>
      </w:pPr>
      <w:r>
        <w:rPr>
          <w:rFonts w:ascii="Cambria Math" w:hAnsi="Cambria Math"/>
          <w:sz w:val="21"/>
        </w:rPr>
        <w:t>Xi_sym(J) = J^2 [[0,1],[-1,0]] + 4J^3 [[-1,1],[-1,1]] + O(J^4).</w:t>
      </w:r>
    </w:p>
    <w:p>
      <w:pPr>
        <w:pStyle w:val="Heading2"/>
      </w:pPr>
      <w:r>
        <w:t>3.4 Consequences</w:t>
      </w:r>
    </w:p>
    <w:p>
      <w:pPr>
        <w:pStyle w:val="ListBullet"/>
      </w:pPr>
      <w:r>
        <w:t>The susceptibility is full rank for all sufficiently weak nonzero J because det Xi_sym(J) = J^4 + O(J^5).</w:t>
      </w:r>
    </w:p>
    <w:p>
      <w:pPr>
        <w:pStyle w:val="ListBullet"/>
      </w:pPr>
      <w:r>
        <w:t>There is no nonzero infinitesimal field direction preserving full Codazzi closure near the unbiased point.</w:t>
      </w:r>
    </w:p>
    <w:p>
      <w:pPr>
        <w:pStyle w:val="ListBullet"/>
      </w:pPr>
      <w:r>
        <w:t>To leading order, the defect activation is isotropic in field magnitude and rotates the field perturbation by a quarter turn in the two-dimensional defect plane.</w:t>
      </w:r>
    </w:p>
    <w:p>
      <w:pPr>
        <w:pStyle w:val="ListBullet"/>
      </w:pPr>
      <w:r>
        <w:t>The earlier oriented quadratic/cubic anisotropy is not invariant and is retracted as an orientation-dependent artifact.</w:t>
      </w:r>
    </w:p>
    <w:p>
      <w:pPr>
        <w:pStyle w:val="ListBullet"/>
      </w:pPr>
      <w:r>
        <w:t>The non-potentiality result survives natural bidirectional reciprocity symmetrization.</w:t>
      </w:r>
    </w:p>
    <w:p>
      <w:pPr>
        <w:pStyle w:val="Heading1"/>
      </w:pPr>
      <w:r>
        <w:t>4. Executable Verification</w:t>
      </w:r>
    </w:p>
    <w:p>
      <w:r>
        <w:t>A standalone Python package reconstructs the exact eight-state distribution and verifies the finite-J tensor, nonzero Codazzi defect, unbiased-point zero, full-rank weak-coupling susceptibility, and leading quarter-turn structure. The package does not hard-code the reported tensor values as inputs; it recomputes them from the probability law.</w:t>
      </w:r>
    </w:p>
    <w:p>
      <w:r>
        <w:t>At h1=0.20, h2=-0.15, J=0.70, it reproduces</w:t>
      </w:r>
    </w:p>
    <w:p>
      <w:pPr>
        <w:jc w:val="center"/>
      </w:pPr>
      <w:r>
        <w:rPr>
          <w:rFonts w:ascii="Cambria Math" w:hAnsi="Cambria Math"/>
          <w:sz w:val="21"/>
        </w:rPr>
        <w:t>M_sym ≈ [[1.3812994662, 1.3574832752], [1.3574832752, 1.3907319546]],</w:t>
      </w:r>
    </w:p>
    <w:p>
      <w:pPr>
        <w:jc w:val="center"/>
      </w:pPr>
      <w:r>
        <w:rPr>
          <w:rFonts w:ascii="Cambria Math" w:hAnsi="Cambria Math"/>
          <w:sz w:val="21"/>
        </w:rPr>
        <w:t>(I_sym,121, I_sym,122) ≈ (-0.3458963928, -0.3209724905).</w:t>
      </w:r>
    </w:p>
    <w:p>
      <w:r>
        <w:t>The package is an executable high-precision verification, not a formal proof-assistant certificate. The symbolic susceptibility expressions above provide the analytical theorem; the Python package independently verifies the finite model and asymptotic behavior.</w:t>
      </w:r>
    </w:p>
    <w:p>
      <w:pPr>
        <w:pStyle w:val="Heading1"/>
      </w:pPr>
      <w:r>
        <w:t>5. Established Mathematical Structure</w:t>
      </w:r>
    </w:p>
    <w:p>
      <w:pPr>
        <w:pStyle w:val="Heading2"/>
      </w:pPr>
      <w:r>
        <w:t>5.1 Canonical local score extraction</w:t>
      </w:r>
    </w:p>
    <w:p>
      <w:pPr>
        <w:jc w:val="center"/>
      </w:pPr>
      <w:r>
        <w:rPr>
          <w:rFonts w:ascii="Cambria Math" w:hAnsi="Cambria Math"/>
          <w:sz w:val="21"/>
        </w:rPr>
        <w:t>S_rho(X) = ⊕_i K_(rho_i)^(-1)(Tr_(not i) X).</w:t>
      </w:r>
    </w:p>
    <w:p>
      <w:pPr>
        <w:pStyle w:val="ListBullet"/>
      </w:pPr>
      <w:r>
        <w:t>Local-unitary covariant.</w:t>
      </w:r>
    </w:p>
    <w:p>
      <w:pPr>
        <w:pStyle w:val="ListBullet"/>
      </w:pPr>
      <w:r>
        <w:t>Centered automatically.</w:t>
      </w:r>
    </w:p>
    <w:p>
      <w:pPr>
        <w:pStyle w:val="ListBullet"/>
      </w:pPr>
      <w:r>
        <w:t>BKM-isometric between local density tangents and local score observables.</w:t>
      </w:r>
    </w:p>
    <w:p>
      <w:pPr>
        <w:pStyle w:val="ListBullet"/>
      </w:pPr>
      <w:r>
        <w:t>Valid smoothly on faithful marginals; pseudoinverse/support restriction required at rank-deficient boundaries.</w:t>
      </w:r>
    </w:p>
    <w:p>
      <w:pPr>
        <w:pStyle w:val="Heading2"/>
      </w:pPr>
      <w:r>
        <w:t>5.2 Scalar-sector hierarchy</w:t>
      </w:r>
    </w:p>
    <w:p>
      <w:r>
        <w:t>A gravity-like universal scalar sector would require several logically distinct structures to coincide:</w:t>
      </w:r>
    </w:p>
    <w:p>
      <w:pPr>
        <w:pStyle w:val="ListBullet"/>
      </w:pPr>
      <w:r>
        <w:t>a conserved source line;</w:t>
      </w:r>
    </w:p>
    <w:p>
      <w:pPr>
        <w:pStyle w:val="ListBullet"/>
      </w:pPr>
      <w:r>
        <w:t>reciprocal scalar propagation;</w:t>
      </w:r>
    </w:p>
    <w:p>
      <w:pPr>
        <w:pStyle w:val="ListBullet"/>
      </w:pPr>
      <w:r>
        <w:t>dominant or globally response-maximizing transmission;</w:t>
      </w:r>
    </w:p>
    <w:p>
      <w:pPr>
        <w:pStyle w:val="ListBullet"/>
      </w:pPr>
      <w:r>
        <w:t>node-ray agreement across incident edges;</w:t>
      </w:r>
    </w:p>
    <w:p>
      <w:pPr>
        <w:pStyle w:val="ListBullet"/>
      </w:pPr>
      <w:r>
        <w:t>common loop eigenray or reducible loop algebra;</w:t>
      </w:r>
    </w:p>
    <w:p>
      <w:pPr>
        <w:pStyle w:val="ListBullet"/>
      </w:pPr>
      <w:r>
        <w:t>positive ordered pairing fixing attractive sign;</w:t>
      </w:r>
    </w:p>
    <w:p>
      <w:pPr>
        <w:pStyle w:val="ListBullet"/>
      </w:pPr>
      <w:r>
        <w:t>nonzero retained response after pruning.</w:t>
      </w:r>
    </w:p>
    <w:p>
      <w:r>
        <w:t>The program has exact criteria and counterexamples separating these conditions. Their joint emergence is not derived from the admissible body alone.</w:t>
      </w:r>
    </w:p>
    <w:p>
      <w:pPr>
        <w:pStyle w:val="Heading2"/>
      </w:pPr>
      <w:r>
        <w:t>5.3 Loop-algebra obstruction</w:t>
      </w:r>
    </w:p>
    <w:p>
      <w:r>
        <w:t>For supplied loop operators, a global projective scalar section exists exactly when the loop representation possesses a common invariant ray. In a qubit retained sector, two non-scalar unitary loops share an eigenray if and only if they commute. In higher dimensions, the correct criterion is reducibility of the generated loop algebra, not pairwise commutation alone.</w:t>
      </w:r>
    </w:p>
    <w:p>
      <w:r>
        <w:t>If the generated loop algebra is irreducible, no nontrivial lossless invariant support pruning exists. Scalarization can still be enforced by compression, but it necessarily discards loop response.</w:t>
      </w:r>
    </w:p>
    <w:p>
      <w:pPr>
        <w:pStyle w:val="Heading1"/>
      </w:pPr>
      <w:r>
        <w:t>6. Corrections and Retractions Preserved</w:t>
      </w:r>
    </w:p>
    <w:p>
      <w:r>
        <w:t>The following corrections are part of the scientific record and must remain attached to any external summary:</w:t>
      </w:r>
    </w:p>
    <w:p>
      <w:pPr>
        <w:pStyle w:val="ListBullet"/>
      </w:pPr>
      <w:r>
        <w:t>A simple-spectrum leading singular edge does not define a nontrivial continuous projective rotation; the earlier simple-spectrum rotation-loop example was retracted.</w:t>
      </w:r>
    </w:p>
    <w:p>
      <w:pPr>
        <w:pStyle w:val="ListBullet"/>
      </w:pPr>
      <w:r>
        <w:t>A single complex unitary loop always has an eigenray and therefore does not by itself obstruct a projective scalar section.</w:t>
      </w:r>
    </w:p>
    <w:p>
      <w:pPr>
        <w:pStyle w:val="ListBullet"/>
      </w:pPr>
      <w:r>
        <w:t>The oriented quadratic/cubic susceptibility anisotropy was not invariant; bidirectional symmetrization gives full-rank J^2 activation in both directions.</w:t>
      </w:r>
    </w:p>
    <w:p>
      <w:pPr>
        <w:pStyle w:val="ListBullet"/>
      </w:pPr>
      <w:r>
        <w:t>BKM reciprocity, source conservation, and positive association do not by themselves force response dominance or a global response potential.</w:t>
      </w:r>
    </w:p>
    <w:p>
      <w:pPr>
        <w:pStyle w:val="ListBullet"/>
      </w:pPr>
      <w:r>
        <w:t>A frozen response tensor always admits a quadratic potential, but a state-dependent reciprocal response field need not be Hessian integrable.</w:t>
      </w:r>
    </w:p>
    <w:p>
      <w:pPr>
        <w:pStyle w:val="Heading1"/>
      </w:pPr>
      <w:r>
        <w:t>7. Claim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Claim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Boundary</w:t>
            </w:r>
          </w:p>
        </w:tc>
      </w:tr>
      <w:tr>
        <w:tc>
          <w:tcPr>
            <w:tcW w:type="dxa" w:w="3360"/>
          </w:tcPr>
          <w:p>
            <w:r>
              <w:t>Canonical local BKM score map</w:t>
            </w:r>
          </w:p>
        </w:tc>
        <w:tc>
          <w:tcPr>
            <w:tcW w:type="dxa" w:w="3360"/>
          </w:tcPr>
          <w:p>
            <w:r>
              <w:t>THEOREM</w:t>
            </w:r>
          </w:p>
        </w:tc>
        <w:tc>
          <w:tcPr>
            <w:tcW w:type="dxa" w:w="3360"/>
          </w:tcPr>
          <w:p>
            <w:r>
              <w:t>Faithful local marginals; supported pseudoinverse on boundaries</w:t>
            </w:r>
          </w:p>
        </w:tc>
      </w:tr>
      <w:tr>
        <w:tc>
          <w:tcPr>
            <w:tcW w:type="dxa" w:w="3360"/>
          </w:tcPr>
          <w:p>
            <w:r>
              <w:t>Intrinsic binary covariance response</w:t>
            </w:r>
          </w:p>
        </w:tc>
        <w:tc>
          <w:tcPr>
            <w:tcW w:type="dxa" w:w="3360"/>
          </w:tcPr>
          <w:p>
            <w:r>
              <w:t>THEOREM</w:t>
            </w:r>
          </w:p>
        </w:tc>
        <w:tc>
          <w:tcPr>
            <w:tcW w:type="dxa" w:w="3360"/>
          </w:tcPr>
          <w:p>
            <w:r>
              <w:t>Frozen finite model and specified BKM metric</w:t>
            </w:r>
          </w:p>
        </w:tc>
      </w:tr>
      <w:tr>
        <w:tc>
          <w:tcPr>
            <w:tcW w:type="dxa" w:w="3360"/>
          </w:tcPr>
          <w:p>
            <w:r>
              <w:t>Symmetrized Codazzi susceptibility</w:t>
            </w:r>
          </w:p>
        </w:tc>
        <w:tc>
          <w:tcPr>
            <w:tcW w:type="dxa" w:w="3360"/>
          </w:tcPr>
          <w:p>
            <w:r>
              <w:t>THEOREM</w:t>
            </w:r>
          </w:p>
        </w:tc>
        <w:tc>
          <w:tcPr>
            <w:tcW w:type="dxa" w:w="3360"/>
          </w:tcPr>
          <w:p>
            <w:r>
              <w:t>Specified three-spin model and two-field leaf</w:t>
            </w:r>
          </w:p>
        </w:tc>
      </w:tr>
      <w:tr>
        <w:tc>
          <w:tcPr>
            <w:tcW w:type="dxa" w:w="3360"/>
          </w:tcPr>
          <w:p>
            <w:r>
              <w:t>Finite-J nonzero Codazzi defect</w:t>
            </w:r>
          </w:p>
        </w:tc>
        <w:tc>
          <w:tcPr>
            <w:tcW w:type="dxa" w:w="3360"/>
          </w:tcPr>
          <w:p>
            <w:r>
              <w:t>EXECUTABLY VERIFIED</w:t>
            </w:r>
          </w:p>
        </w:tc>
        <w:tc>
          <w:tcPr>
            <w:tcW w:type="dxa" w:w="3360"/>
          </w:tcPr>
          <w:p>
            <w:r>
              <w:t>High precision; exact closed form not required for the theorem</w:t>
            </w:r>
          </w:p>
        </w:tc>
      </w:tr>
      <w:tr>
        <w:tc>
          <w:tcPr>
            <w:tcW w:type="dxa" w:w="3360"/>
          </w:tcPr>
          <w:p>
            <w:r>
              <w:t>Generic response non-potentiality</w:t>
            </w:r>
          </w:p>
        </w:tc>
        <w:tc>
          <w:tcPr>
            <w:tcW w:type="dxa" w:w="3360"/>
          </w:tcPr>
          <w:p>
            <w:r>
              <w:t>ESTABLISHED IN MODEL</w:t>
            </w:r>
          </w:p>
        </w:tc>
        <w:tc>
          <w:tcPr>
            <w:tcW w:type="dxa" w:w="3360"/>
          </w:tcPr>
          <w:p>
            <w:r>
              <w:t>Not universal over all graphs or quantum systems</w:t>
            </w:r>
          </w:p>
        </w:tc>
      </w:tr>
      <w:tr>
        <w:tc>
          <w:tcPr>
            <w:tcW w:type="dxa" w:w="3360"/>
          </w:tcPr>
          <w:p>
            <w:r>
              <w:t>Universal scalar interaction</w:t>
            </w:r>
          </w:p>
        </w:tc>
        <w:tc>
          <w:tcPr>
            <w:tcW w:type="dxa" w:w="3360"/>
          </w:tcPr>
          <w:p>
            <w:r>
              <w:t>CONDITIONALLY CHARACTERIZED</w:t>
            </w:r>
          </w:p>
        </w:tc>
        <w:tc>
          <w:tcPr>
            <w:tcW w:type="dxa" w:w="3360"/>
          </w:tcPr>
          <w:p>
            <w:r>
              <w:t>Not derived from frozen primitives</w:t>
            </w:r>
          </w:p>
        </w:tc>
      </w:tr>
      <w:tr>
        <w:tc>
          <w:tcPr>
            <w:tcW w:type="dxa" w:w="3360"/>
          </w:tcPr>
          <w:p>
            <w:r>
              <w:t>Physical gravity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No mass law, distance law, inverse-square law, equivalence principle, ADM, or Einstein equation</w:t>
            </w:r>
          </w:p>
        </w:tc>
      </w:tr>
      <w:tr>
        <w:tc>
          <w:tcPr>
            <w:tcW w:type="dxa" w:w="3360"/>
          </w:tcPr>
          <w:p>
            <w:r>
              <w:t>Cosmological interpretation</w:t>
            </w:r>
          </w:p>
        </w:tc>
        <w:tc>
          <w:tcPr>
            <w:tcW w:type="dxa" w:w="3360"/>
          </w:tcPr>
          <w:p>
            <w:r>
              <w:t>OUT OF SCOPE OF THIS RESULT</w:t>
            </w:r>
          </w:p>
        </w:tc>
        <w:tc>
          <w:tcPr>
            <w:tcW w:type="dxa" w:w="3360"/>
          </w:tcPr>
          <w:p>
            <w:r>
              <w:t>No observational inference follows from the Codazzi theorem</w:t>
            </w:r>
          </w:p>
        </w:tc>
      </w:tr>
    </w:tbl>
    <w:p>
      <w:pPr>
        <w:pStyle w:val="Heading1"/>
      </w:pPr>
      <w:r>
        <w:t>8. Scientific Significance</w:t>
      </w:r>
    </w:p>
    <w:p>
      <w:r>
        <w:t>The strongest defensible interpretation is that potential information geometry and response information geometry are mathematically distinct, even in the smallest canonical interacting model. Maximum-entropy exponential structure guarantees that the BKM metric is Hessian, but it does not guarantee that the covariance-defined response tensor pulled back through canonical local scores is Hessian.</w:t>
      </w:r>
    </w:p>
    <w:p>
      <w:r>
        <w:t>The exact full-rank susceptibility shows that the pointwise Codazzi zero at the unbiased state is symmetry protected and transversely unstable. This is a substantive mathematical result independent of any gravity interpretation.</w:t>
      </w:r>
    </w:p>
    <w:p>
      <w:pPr>
        <w:pStyle w:val="Heading1"/>
      </w:pPr>
      <w:r>
        <w:t>9. Future Work</w:t>
      </w:r>
    </w:p>
    <w:p>
      <w:pPr>
        <w:pStyle w:val="ListNumber"/>
      </w:pPr>
      <w:r>
        <w:t>Generate a computer-algebra derivation file that reproduces A(J), B(J), and their series coefficients from the exact partition function, with machine-checkable simplification steps.</w:t>
      </w:r>
    </w:p>
    <w:p>
      <w:pPr>
        <w:pStyle w:val="ListNumber"/>
      </w:pPr>
      <w:r>
        <w:t>Extend the score hierarchy beyond one-node marginals to irreducible two-node and higher-order correlation tangents, then test whether non-potentiality persists or changes under informational completion.</w:t>
      </w:r>
    </w:p>
    <w:p>
      <w:pPr>
        <w:pStyle w:val="ListNumber"/>
      </w:pPr>
      <w:r>
        <w:t>Repeat the exact susceptibility analysis for unequal edge couplings and nonuniform reciprocal edge weights to classify structural stability.</w:t>
      </w:r>
    </w:p>
    <w:p>
      <w:pPr>
        <w:pStyle w:val="ListNumber"/>
      </w:pPr>
      <w:r>
        <w:t>Audit quantum noncommuting analogues using exact Kubo-Mori superoperators rather than classical Fisher reductions.</w:t>
      </w:r>
    </w:p>
    <w:p>
      <w:pPr>
        <w:pStyle w:val="ListNumber"/>
      </w:pPr>
      <w:r>
        <w:t>Test whether the Codazzi defect has invariant meaning under independently frozen coordinate/connection choices and graph refinement.</w:t>
      </w:r>
    </w:p>
    <w:p>
      <w:pPr>
        <w:pStyle w:val="ListNumber"/>
      </w:pPr>
      <w:r>
        <w:t>Keep the gravity branch separate until a source law, relational geometry, and ADM/Einstein correspondence are independently derived.</w:t>
      </w:r>
    </w:p>
    <w:p>
      <w:pPr>
        <w:pStyle w:val="Heading1"/>
      </w:pPr>
      <w:r>
        <w:t>10. Recommended External Reporting Language</w:t>
      </w:r>
    </w:p>
    <w:p>
      <w:r>
        <w:t>Publication-safe statement:</w:t>
      </w:r>
    </w:p>
    <w:p>
      <w:pPr>
        <w:pStyle w:val="IntenseQuote"/>
      </w:pPr>
      <w:r>
        <w:t>In an exactly specified three-spin exponential-family model, canonical local Fisher/BKM score extraction and covariance-defined reciprocal response produce a bidirectionally symmetrized state-response tensor whose exponential-affine Codazzi susceptibility is full rank at weak nonzero interaction. The symmetric point is pointwise Codazzi closed, but every nonzero infinitesimal field bias activates non-potential response at order J^2. This is a finite-model information-geometric theorem and is not a derivation of physical gravity.</w:t>
      </w:r>
    </w:p>
    <w:p>
      <w:pPr>
        <w:pStyle w:val="Heading1"/>
      </w:pPr>
      <w:r>
        <w:t>11. Artifact Register</w:t>
      </w:r>
    </w:p>
    <w:p>
      <w:pPr>
        <w:pStyle w:val="ListBullet"/>
      </w:pPr>
      <w:r>
        <w:t>Updated scientific status report: this document.</w:t>
      </w:r>
    </w:p>
    <w:p>
      <w:pPr>
        <w:pStyle w:val="ListBullet"/>
      </w:pPr>
      <w:r>
        <w:t>Executable Python verification package: UQCF_GEM_Codazzi_Python_Proof.zip.</w:t>
      </w:r>
    </w:p>
    <w:p>
      <w:pPr>
        <w:pStyle w:val="ListBullet"/>
      </w:pPr>
      <w:r>
        <w:t>Prior July status report: superseded for the state-level Codazzi branch; retained as historical record.</w:t>
      </w:r>
    </w:p>
    <w:p>
      <w:pPr>
        <w:pStyle w:val="Heading1"/>
      </w:pPr>
      <w:r>
        <w:t>12. Final Adjudication</w:t>
      </w:r>
    </w:p>
    <w:p>
      <w:pPr>
        <w:jc w:val="center"/>
      </w:pPr>
      <w:r>
        <w:rPr>
          <w:rFonts w:ascii="Cambria Math" w:hAnsi="Cambria Math"/>
          <w:sz w:val="21"/>
        </w:rPr>
        <w:t>PASS_EXACT_SYMMETRIZED_CODAZZI_SUSCEPTIBILITY</w:t>
      </w:r>
    </w:p>
    <w:p>
      <w:pPr>
        <w:jc w:val="center"/>
      </w:pPr>
      <w:r>
        <w:rPr>
          <w:rFonts w:ascii="Cambria Math" w:hAnsi="Cambria Math"/>
          <w:sz w:val="21"/>
        </w:rPr>
        <w:t>PASS_FULL_RANK_QUADRATIC_ACTIVATION</w:t>
      </w:r>
    </w:p>
    <w:p>
      <w:pPr>
        <w:jc w:val="center"/>
      </w:pPr>
      <w:r>
        <w:rPr>
          <w:rFonts w:ascii="Cambria Math" w:hAnsi="Cambria Math"/>
          <w:sz w:val="21"/>
        </w:rPr>
        <w:t>REJECT_ORIENTATION_ARTIFACT_EXPLANATION</w:t>
      </w:r>
    </w:p>
    <w:p>
      <w:pPr>
        <w:jc w:val="center"/>
      </w:pPr>
      <w:r>
        <w:rPr>
          <w:rFonts w:ascii="Cambria Math" w:hAnsi="Cambria Math"/>
          <w:sz w:val="21"/>
        </w:rPr>
        <w:t>PASS_CANONICAL_NONPOTENTIAL_RESPONSE_IN_THE_SPECIFIED_FINITE_MODEL</w:t>
      </w:r>
    </w:p>
    <w:p>
      <w:pPr>
        <w:jc w:val="center"/>
      </w:pPr>
      <w:r>
        <w:rPr>
          <w:rFonts w:ascii="Cambria Math" w:hAnsi="Cambria Math"/>
          <w:sz w:val="21"/>
        </w:rPr>
        <w:t>PHYSICAL_GRAVITY_AND_ADM_EINSTEIN_CORRESPONDENCE: OPEN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Updated August 1, 2026 — Claim boundaries frozen to current adjudication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UQCF-GEM / Pre-Pruning Response Program — Scientific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