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A52"/>
          <w:sz w:val="36"/>
        </w:rPr>
        <w:t>Short Technical Note</w:t>
      </w:r>
    </w:p>
    <w:p>
      <w:pPr>
        <w:jc w:val="center"/>
      </w:pPr>
      <w:r>
        <w:rPr>
          <w:b/>
          <w:sz w:val="26"/>
        </w:rPr>
        <w:t>Reproducible derivation scaffold and empirical checks for the UQCF-GEM compressed core</w:t>
      </w:r>
    </w:p>
    <w:p>
      <w:pPr>
        <w:jc w:val="center"/>
      </w:pPr>
      <w:r>
        <w:rPr>
          <w:i/>
          <w:sz w:val="19"/>
        </w:rPr>
        <w:t>Prepared from uploaded source PDFs plus explicit Planck 2018 and DESI DR2 data extracts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EF4F8"/>
            <w:vAlign w:val="center"/>
          </w:tcPr>
          <w:p>
            <w:pPr>
              <w:spacing w:before="80" w:after="80"/>
            </w:pPr>
            <w:r>
              <w:rPr>
                <w:b/>
              </w:rPr>
              <w:t xml:space="preserve">Abstract. </w:t>
            </w:r>
            <w:r>
              <w:t>This note records the exact equations, datasets, model comparisons, and unresolved closure step behind the current UQCF-GEM compressed-core claim. The derivation combines: (i) the UQCF-GEM local action and fractal mode structure, (ii) the IQC nonlocal coherence-memory term, and (iii) the Kahan temporal coherence / entropy-loss dynamics. The resulting scaffold yields D_f = 2 + σ, γ = 1 − σ, and the near-fixed-point relations δ ~ γ^3 and β ≈ −1 + O(γ^4). The remaining unsolved step is a two-ratio closure equation for the exact attractor σ*.</w:t>
            </w:r>
          </w:p>
        </w:tc>
      </w:tr>
    </w:tbl>
    <w:p>
      <w:pPr>
        <w:pStyle w:val="Heading1"/>
      </w:pPr>
      <w:r>
        <w:rPr>
          <w:color w:val="143A52"/>
        </w:rPr>
        <w:t>1. Scope and claims</w:t>
      </w:r>
    </w:p>
    <w:p>
      <w:pPr>
        <w:spacing w:after="80"/>
      </w:pPr>
      <w:r>
        <w:t>This paper is intentionally narrow. It does not claim a fully unique first-principles derivation of D_f = 2.7387. It records the strongest derivation path currently supported by the uploaded materials and the explicit data checks carried out in this session.</w:t>
      </w:r>
    </w:p>
    <w:p>
      <w:pPr>
        <w:spacing w:after="80"/>
      </w:pPr>
      <w:r>
        <w:t>What is claimed here: there is now a reproducible action-to-memory-to-exponent scaffold that reduces the open problem to a single two-ratio closure equation. What is not claimed: that the exact attractor value is already uniquely forced from bare microscopic parameters with no remaining closure choice.</w:t>
      </w:r>
    </w:p>
    <w:p>
      <w:pPr>
        <w:pStyle w:val="Heading1"/>
      </w:pPr>
      <w:r>
        <w:rPr>
          <w:color w:val="143A52"/>
        </w:rPr>
        <w:t>2. Source inputs used</w:t>
      </w:r>
    </w:p>
    <w:p>
      <w:pPr>
        <w:pStyle w:val="ListBullet"/>
      </w:pPr>
      <w:r>
        <w:rPr>
          <w:b/>
        </w:rPr>
        <w:t xml:space="preserve">UQCF-GEM.pdf: </w:t>
      </w:r>
      <w:r>
        <w:t>Local action, scalar coherence field φ, fractal spacetime ansatz, fractal mode scaling λ_n = λ_0 n^(−D_f), modified commutators weighted by n^(D_f−2), quoted N_eff = 1.37×10^21.</w:t>
      </w:r>
    </w:p>
    <w:p>
      <w:pPr>
        <w:pStyle w:val="ListBullet"/>
      </w:pPr>
      <w:r>
        <w:rPr>
          <w:b/>
        </w:rPr>
        <w:t xml:space="preserve">New Physics–IQC Framework.pdf: </w:t>
      </w:r>
      <w:r>
        <w:t>Nonlocal coherence term L_coherence = (g/2)∫∫Γ(x,x′)φ(x)φ(x′) and reduction to a time-memory kernel under translation invariance and spatial homogeneity.</w:t>
      </w:r>
    </w:p>
    <w:p>
      <w:pPr>
        <w:pStyle w:val="ListBullet"/>
      </w:pPr>
      <w:r>
        <w:rPr>
          <w:b/>
        </w:rPr>
        <w:t xml:space="preserve">Kahan.pdf: </w:t>
      </w:r>
      <w:r>
        <w:t>Continuous-time compensator c(t), bounded coherence feedback equation, and explicit interpretation of entropy/coherence backreaction.</w:t>
      </w:r>
    </w:p>
    <w:p>
      <w:pPr>
        <w:pStyle w:val="ListBullet"/>
      </w:pPr>
      <w:r>
        <w:rPr>
          <w:b/>
        </w:rPr>
        <w:t xml:space="preserve">C3++ Paper1.pdf / C3++HVI Code.pdf: </w:t>
      </w:r>
      <w:r>
        <w:t>Support for long-memory, 1/f-type stabilized regimes and implementation framing, used only as supporting intuition, not as the fundamental derivation.</w:t>
      </w:r>
    </w:p>
    <w:p>
      <w:pPr>
        <w:pStyle w:val="Heading1"/>
      </w:pPr>
      <w:r>
        <w:rPr>
          <w:color w:val="143A52"/>
        </w:rPr>
        <w:t>3. Derivation scaffold</w:t>
      </w:r>
    </w:p>
    <w:p>
      <w:pPr>
        <w:spacing w:after="60"/>
      </w:pPr>
      <w:r>
        <w:t>3.1 Effective action. The upgraded action used in this note is the UQCF-GEM local action plus the IQC nonlocal coherence term:</w:t>
      </w:r>
    </w:p>
    <w:p>
      <w:pPr>
        <w:pStyle w:val="IntenseQuote"/>
        <w:spacing w:after="60"/>
      </w:pPr>
      <w:r>
        <w:t>S_eff = ∫ d^4x √−g [ R/(16πG) + 1/2 (D_μφ)^2 − 1/2 m_φ^2 φ^2 + L_SM + κ ] + (g_c/2) ∫ d^4x d^4x′ √−g √−g′ Γ(x−x′) φ(x) φ(x′).</w:t>
      </w:r>
    </w:p>
    <w:p>
      <w:pPr>
        <w:spacing w:after="60"/>
      </w:pPr>
      <w:r>
        <w:t>3.2 Homogeneous memory equation. Varying with respect to φ and imposing the IQC homogeneous reduction gives:</w:t>
      </w:r>
    </w:p>
    <w:p>
      <w:pPr>
        <w:pStyle w:val="IntenseQuote"/>
        <w:spacing w:after="60"/>
      </w:pPr>
      <w:r>
        <w:t>φ¨(t) + ω_0^2 φ(t) + g_c ∫ dt′ Γ(t−t′) φ(t′) = 0.</w:t>
      </w:r>
    </w:p>
    <w:p>
      <w:pPr>
        <w:spacing w:after="60"/>
      </w:pPr>
      <w:r>
        <w:t>3.3 Power-law memory kernel. For a long-memory coherence tail Γ(t) ~ |t|^(−1−σ), 0 &lt; σ &lt; 1, the Fourier transform scales as |ω|^σ. This yields the exponent map:</w:t>
      </w:r>
    </w:p>
    <w:p>
      <w:pPr>
        <w:pStyle w:val="IntenseQuote"/>
        <w:spacing w:after="60"/>
      </w:pPr>
      <w:r>
        <w:t>D_f = 2 + σ,     γ = 3 − D_f = 1 − σ.</w:t>
      </w:r>
    </w:p>
    <w:p>
      <w:pPr>
        <w:spacing w:after="60"/>
      </w:pPr>
      <w:r>
        <w:t>3.4 Coherence reinforcement from the UQCF-GEM mode sector. Because the modified commutator weights the mode sector by n^(D_f−2) = n^σ, the coherence drive is proportional to the logarithmic sensitivity of Σ_{n=1}^{N_eff} n^σ. For large N_eff:</w:t>
      </w:r>
    </w:p>
    <w:p>
      <w:pPr>
        <w:pStyle w:val="IntenseQuote"/>
        <w:spacing w:after="60"/>
      </w:pPr>
      <w:r>
        <w:t>A(σ) ∝ ∂/∂σ ln Σ n^σ ≈ α [ ln(N_eff) − 1/(1+σ) ].</w:t>
      </w:r>
    </w:p>
    <w:p>
      <w:pPr>
        <w:spacing w:after="60"/>
      </w:pPr>
      <w:r>
        <w:t>3.5 Entropy-loss closure. Introduce a convex entropy cost in the anomalous exponent:</w:t>
      </w:r>
    </w:p>
    <w:p>
      <w:pPr>
        <w:pStyle w:val="IntenseQuote"/>
        <w:spacing w:after="60"/>
      </w:pPr>
      <w:r>
        <w:t>S(σ) = B σ^2 + C σ^3.</w:t>
      </w:r>
    </w:p>
    <w:p>
      <w:pPr>
        <w:spacing w:after="60"/>
      </w:pPr>
      <w:r>
        <w:t>Stationary coherence–entropy balance then requires:</w:t>
      </w:r>
    </w:p>
    <w:p>
      <w:pPr>
        <w:pStyle w:val="IntenseQuote"/>
        <w:spacing w:after="60"/>
      </w:pPr>
      <w:r>
        <w:t>α [ ln(N_eff) − 1/(1+σ*) ] = B σ* + C σ*^2.</w:t>
      </w:r>
    </w:p>
    <w:p>
      <w:pPr>
        <w:spacing w:after="60"/>
      </w:pPr>
      <w:r>
        <w:t>Define dimensionless closure ratios r = B/α and s = C/α. The exact fixed-point condition becomes:</w:t>
      </w:r>
    </w:p>
    <w:p>
      <w:pPr>
        <w:pStyle w:val="IntenseQuote"/>
        <w:spacing w:after="60"/>
      </w:pPr>
      <w:r>
        <w:t>ln(N_eff) − 1/(1+σ*) = r σ* + s σ*^2.</w:t>
      </w:r>
    </w:p>
    <w:p>
      <w:pPr>
        <w:spacing w:after="60"/>
      </w:pPr>
      <w:r>
        <w:t>3.6 Downstream compressed core. Once σ* is fixed, the compressed core follows as:</w:t>
      </w:r>
    </w:p>
    <w:p>
      <w:pPr>
        <w:pStyle w:val="IntenseQuote"/>
        <w:spacing w:after="60"/>
      </w:pPr>
      <w:r>
        <w:t>D_f = 2 + σ*,     γ = 1 − σ*,     δ ~ γ^3,     β ≈ −1 + O(γ^4).</w:t>
      </w:r>
    </w:p>
    <w:p>
      <w:pPr>
        <w:pStyle w:val="Heading1"/>
      </w:pPr>
      <w:r>
        <w:rPr>
          <w:color w:val="143A52"/>
        </w:rPr>
        <w:t>4. Numerical values implied by the scaffold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Value / relation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Quoted UQCF-GEM entanglement count</w:t>
            </w:r>
          </w:p>
        </w:tc>
        <w:tc>
          <w:tcPr>
            <w:tcW w:type="dxa" w:w="4986"/>
            <w:vAlign w:val="center"/>
          </w:tcPr>
          <w:p>
            <w:r>
              <w:t>N_eff = 1.37 × 10^21</w:t>
            </w:r>
          </w:p>
        </w:tc>
      </w:tr>
      <w:tr>
        <w:tc>
          <w:tcPr>
            <w:tcW w:type="dxa" w:w="4986"/>
            <w:vAlign w:val="center"/>
          </w:tcPr>
          <w:p>
            <w:r>
              <w:t>Natural logarithm</w:t>
            </w:r>
          </w:p>
        </w:tc>
        <w:tc>
          <w:tcPr>
            <w:tcW w:type="dxa" w:w="4986"/>
            <w:vAlign w:val="center"/>
          </w:tcPr>
          <w:p>
            <w:r>
              <w:t>ln(N_eff) ≈ 48.67</w:t>
            </w:r>
          </w:p>
        </w:tc>
      </w:tr>
      <w:tr>
        <w:tc>
          <w:tcPr>
            <w:tcW w:type="dxa" w:w="4986"/>
            <w:vAlign w:val="center"/>
          </w:tcPr>
          <w:p>
            <w:r>
              <w:t>Current attractor candidate</w:t>
            </w:r>
          </w:p>
        </w:tc>
        <w:tc>
          <w:tcPr>
            <w:tcW w:type="dxa" w:w="4986"/>
            <w:vAlign w:val="center"/>
          </w:tcPr>
          <w:p>
            <w:r>
              <w:t>σ* = 0.7387</w:t>
            </w:r>
          </w:p>
        </w:tc>
      </w:tr>
      <w:tr>
        <w:tc>
          <w:tcPr>
            <w:tcW w:type="dxa" w:w="4986"/>
            <w:vAlign w:val="center"/>
          </w:tcPr>
          <w:p>
            <w:r>
              <w:t>Emergent fractal dimension</w:t>
            </w:r>
          </w:p>
        </w:tc>
        <w:tc>
          <w:tcPr>
            <w:tcW w:type="dxa" w:w="4986"/>
            <w:vAlign w:val="center"/>
          </w:tcPr>
          <w:p>
            <w:r>
              <w:t>D_f = 2 + σ* = 2.7387</w:t>
            </w:r>
          </w:p>
        </w:tc>
      </w:tr>
      <w:tr>
        <w:tc>
          <w:tcPr>
            <w:tcW w:type="dxa" w:w="4986"/>
            <w:vAlign w:val="center"/>
          </w:tcPr>
          <w:p>
            <w:r>
              <w:t>Codimension deficit</w:t>
            </w:r>
          </w:p>
        </w:tc>
        <w:tc>
          <w:tcPr>
            <w:tcW w:type="dxa" w:w="4986"/>
            <w:vAlign w:val="center"/>
          </w:tcPr>
          <w:p>
            <w:r>
              <w:t>γ = 1 − σ* = 0.2613</w:t>
            </w:r>
          </w:p>
        </w:tc>
      </w:tr>
      <w:tr>
        <w:tc>
          <w:tcPr>
            <w:tcW w:type="dxa" w:w="4986"/>
            <w:vAlign w:val="center"/>
          </w:tcPr>
          <w:p>
            <w:r>
              <w:t>First nonlinear correction</w:t>
            </w:r>
          </w:p>
        </w:tc>
        <w:tc>
          <w:tcPr>
            <w:tcW w:type="dxa" w:w="4986"/>
            <w:vAlign w:val="center"/>
          </w:tcPr>
          <w:p>
            <w:r>
              <w:t>γ^3 ≈ 0.01784 (close to quoted δ = 0.0177)</w:t>
            </w:r>
          </w:p>
        </w:tc>
      </w:tr>
    </w:tbl>
    <w:p>
      <w:r>
        <w:t>At σ* = 0.7387 the closure equation becomes: 48.10 ≈ 0.7387 r + 0.546 s. This is the final unresolved microscopic step.</w:t>
      </w:r>
    </w:p>
    <w:p>
      <w:pPr>
        <w:pStyle w:val="Heading1"/>
      </w:pPr>
      <w:r>
        <w:rPr>
          <w:color w:val="143A52"/>
        </w:rPr>
        <w:t>5. Empirical checks reproduced in this note</w:t>
      </w:r>
    </w:p>
    <w:p>
      <w:r>
        <w:t>Two independent empirical checks were carried forward: (i) Planck 2018 lensing MV bandpower fits using the published Table 1 values, and (ii) DESI DR2 BAO fits using the CobayaSampler/bao_data mean vector and covariance files distributed for DESI DR2.</w:t>
      </w:r>
    </w:p>
    <w:p>
      <w:r>
        <w:t>5.1 Planck 2018 MV bandpowers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CE6F1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662"/>
            <w:shd w:fill="DCE6F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662"/>
            <w:shd w:fill="DCE6F1"/>
          </w:tcPr>
          <w:p>
            <w:r>
              <w:rPr>
                <w:b/>
              </w:rPr>
              <w:t>χ²_red</w:t>
            </w:r>
          </w:p>
        </w:tc>
        <w:tc>
          <w:tcPr>
            <w:tcW w:type="dxa" w:w="1662"/>
            <w:shd w:fill="DCE6F1"/>
          </w:tcPr>
          <w:p>
            <w:r>
              <w:rPr>
                <w:b/>
              </w:rPr>
              <w:t>AIC</w:t>
            </w:r>
          </w:p>
        </w:tc>
        <w:tc>
          <w:tcPr>
            <w:tcW w:type="dxa" w:w="1662"/>
            <w:shd w:fill="DCE6F1"/>
          </w:tcPr>
          <w:p>
            <w:r>
              <w:rPr>
                <w:b/>
              </w:rPr>
              <w:t>BIC</w:t>
            </w:r>
          </w:p>
        </w:tc>
        <w:tc>
          <w:tcPr>
            <w:tcW w:type="dxa" w:w="1662"/>
            <w:shd w:fill="DCE6F1"/>
          </w:tcPr>
          <w:p>
            <w:r>
              <w:rPr>
                <w:b/>
              </w:rPr>
              <w:t>RMS %</w:t>
            </w:r>
          </w:p>
        </w:tc>
      </w:tr>
      <w:tr>
        <w:tc>
          <w:tcPr>
            <w:tcW w:type="dxa" w:w="1662"/>
          </w:tcPr>
          <w:p>
            <w:r>
              <w:t>conservative</w:t>
            </w:r>
          </w:p>
        </w:tc>
        <w:tc>
          <w:tcPr>
            <w:tcW w:type="dxa" w:w="1662"/>
          </w:tcPr>
          <w:p>
            <w:r>
              <w:t>M1_constant</w:t>
            </w:r>
          </w:p>
        </w:tc>
        <w:tc>
          <w:tcPr>
            <w:tcW w:type="dxa" w:w="1662"/>
          </w:tcPr>
          <w:p>
            <w:r>
              <w:t>1.108</w:t>
            </w:r>
          </w:p>
        </w:tc>
        <w:tc>
          <w:tcPr>
            <w:tcW w:type="dxa" w:w="1662"/>
          </w:tcPr>
          <w:p>
            <w:r>
              <w:t>10.87</w:t>
            </w:r>
          </w:p>
        </w:tc>
        <w:tc>
          <w:tcPr>
            <w:tcW w:type="dxa" w:w="1662"/>
          </w:tcPr>
          <w:p>
            <w:r>
              <w:t>11.06</w:t>
            </w:r>
          </w:p>
        </w:tc>
        <w:tc>
          <w:tcPr>
            <w:tcW w:type="dxa" w:w="1662"/>
          </w:tcPr>
          <w:p>
            <w:r>
              <w:t>9.89</w:t>
            </w:r>
          </w:p>
        </w:tc>
      </w:tr>
      <w:tr>
        <w:tc>
          <w:tcPr>
            <w:tcW w:type="dxa" w:w="1662"/>
          </w:tcPr>
          <w:p>
            <w:r>
              <w:t>conservative</w:t>
            </w:r>
          </w:p>
        </w:tc>
        <w:tc>
          <w:tcPr>
            <w:tcW w:type="dxa" w:w="1662"/>
          </w:tcPr>
          <w:p>
            <w:r>
              <w:t>M2_fixed_width</w:t>
            </w:r>
          </w:p>
        </w:tc>
        <w:tc>
          <w:tcPr>
            <w:tcW w:type="dxa" w:w="1662"/>
          </w:tcPr>
          <w:p>
            <w:r>
              <w:t>1.472</w:t>
            </w:r>
          </w:p>
        </w:tc>
        <w:tc>
          <w:tcPr>
            <w:tcW w:type="dxa" w:w="1662"/>
          </w:tcPr>
          <w:p>
            <w:r>
              <w:t>14.83</w:t>
            </w:r>
          </w:p>
        </w:tc>
        <w:tc>
          <w:tcPr>
            <w:tcW w:type="dxa" w:w="1662"/>
          </w:tcPr>
          <w:p>
            <w:r>
              <w:t>15.43</w:t>
            </w:r>
          </w:p>
        </w:tc>
        <w:tc>
          <w:tcPr>
            <w:tcW w:type="dxa" w:w="1662"/>
          </w:tcPr>
          <w:p>
            <w:r>
              <w:t>10.03</w:t>
            </w:r>
          </w:p>
        </w:tc>
      </w:tr>
      <w:tr>
        <w:tc>
          <w:tcPr>
            <w:tcW w:type="dxa" w:w="1662"/>
          </w:tcPr>
          <w:p>
            <w:r>
              <w:t>conservative</w:t>
            </w:r>
          </w:p>
        </w:tc>
        <w:tc>
          <w:tcPr>
            <w:tcW w:type="dxa" w:w="1662"/>
          </w:tcPr>
          <w:p>
            <w:r>
              <w:t>M3_free_width</w:t>
            </w:r>
          </w:p>
        </w:tc>
        <w:tc>
          <w:tcPr>
            <w:tcW w:type="dxa" w:w="1662"/>
          </w:tcPr>
          <w:p>
            <w:r>
              <w:t>1.299</w:t>
            </w:r>
          </w:p>
        </w:tc>
        <w:tc>
          <w:tcPr>
            <w:tcW w:type="dxa" w:w="1662"/>
          </w:tcPr>
          <w:p>
            <w:r>
              <w:t>14.49</w:t>
            </w:r>
          </w:p>
        </w:tc>
        <w:tc>
          <w:tcPr>
            <w:tcW w:type="dxa" w:w="1662"/>
          </w:tcPr>
          <w:p>
            <w:r>
              <w:t>15.28</w:t>
            </w:r>
          </w:p>
        </w:tc>
        <w:tc>
          <w:tcPr>
            <w:tcW w:type="dxa" w:w="1662"/>
          </w:tcPr>
          <w:p>
            <w:r>
              <w:t>7.54</w:t>
            </w:r>
          </w:p>
        </w:tc>
      </w:tr>
      <w:tr>
        <w:tc>
          <w:tcPr>
            <w:tcW w:type="dxa" w:w="1662"/>
          </w:tcPr>
          <w:p>
            <w:r>
              <w:t>aggressive</w:t>
            </w:r>
          </w:p>
        </w:tc>
        <w:tc>
          <w:tcPr>
            <w:tcW w:type="dxa" w:w="1662"/>
          </w:tcPr>
          <w:p>
            <w:r>
              <w:t>M1_constant</w:t>
            </w:r>
          </w:p>
        </w:tc>
        <w:tc>
          <w:tcPr>
            <w:tcW w:type="dxa" w:w="1662"/>
          </w:tcPr>
          <w:p>
            <w:r>
              <w:t>1.126</w:t>
            </w:r>
          </w:p>
        </w:tc>
        <w:tc>
          <w:tcPr>
            <w:tcW w:type="dxa" w:w="1662"/>
          </w:tcPr>
          <w:p>
            <w:r>
              <w:t>16.64</w:t>
            </w:r>
          </w:p>
        </w:tc>
        <w:tc>
          <w:tcPr>
            <w:tcW w:type="dxa" w:w="1662"/>
          </w:tcPr>
          <w:p>
            <w:r>
              <w:t>17.28</w:t>
            </w:r>
          </w:p>
        </w:tc>
        <w:tc>
          <w:tcPr>
            <w:tcW w:type="dxa" w:w="1662"/>
          </w:tcPr>
          <w:p>
            <w:r>
              <w:t>34.37</w:t>
            </w:r>
          </w:p>
        </w:tc>
      </w:tr>
      <w:tr>
        <w:tc>
          <w:tcPr>
            <w:tcW w:type="dxa" w:w="1662"/>
          </w:tcPr>
          <w:p>
            <w:r>
              <w:t>aggressive</w:t>
            </w:r>
          </w:p>
        </w:tc>
        <w:tc>
          <w:tcPr>
            <w:tcW w:type="dxa" w:w="1662"/>
          </w:tcPr>
          <w:p>
            <w:r>
              <w:t>M2_fixed_width</w:t>
            </w:r>
          </w:p>
        </w:tc>
        <w:tc>
          <w:tcPr>
            <w:tcW w:type="dxa" w:w="1662"/>
          </w:tcPr>
          <w:p>
            <w:r>
              <w:t>0.863</w:t>
            </w:r>
          </w:p>
        </w:tc>
        <w:tc>
          <w:tcPr>
            <w:tcW w:type="dxa" w:w="1662"/>
          </w:tcPr>
          <w:p>
            <w:r>
              <w:t>15.49</w:t>
            </w:r>
          </w:p>
        </w:tc>
        <w:tc>
          <w:tcPr>
            <w:tcW w:type="dxa" w:w="1662"/>
          </w:tcPr>
          <w:p>
            <w:r>
              <w:t>17.41</w:t>
            </w:r>
          </w:p>
        </w:tc>
        <w:tc>
          <w:tcPr>
            <w:tcW w:type="dxa" w:w="1662"/>
          </w:tcPr>
          <w:p>
            <w:r>
              <w:t>18.43</w:t>
            </w:r>
          </w:p>
        </w:tc>
      </w:tr>
      <w:tr>
        <w:tc>
          <w:tcPr>
            <w:tcW w:type="dxa" w:w="1662"/>
          </w:tcPr>
          <w:p>
            <w:r>
              <w:t>aggressive</w:t>
            </w:r>
          </w:p>
        </w:tc>
        <w:tc>
          <w:tcPr>
            <w:tcW w:type="dxa" w:w="1662"/>
          </w:tcPr>
          <w:p>
            <w:r>
              <w:t>M3_free_width</w:t>
            </w:r>
          </w:p>
        </w:tc>
        <w:tc>
          <w:tcPr>
            <w:tcW w:type="dxa" w:w="1662"/>
          </w:tcPr>
          <w:p>
            <w:r>
              <w:t>0.880</w:t>
            </w:r>
          </w:p>
        </w:tc>
        <w:tc>
          <w:tcPr>
            <w:tcW w:type="dxa" w:w="1662"/>
          </w:tcPr>
          <w:p>
            <w:r>
              <w:t>16.80</w:t>
            </w:r>
          </w:p>
        </w:tc>
        <w:tc>
          <w:tcPr>
            <w:tcW w:type="dxa" w:w="1662"/>
          </w:tcPr>
          <w:p>
            <w:r>
              <w:t>19.36</w:t>
            </w:r>
          </w:p>
        </w:tc>
        <w:tc>
          <w:tcPr>
            <w:tcW w:type="dxa" w:w="1662"/>
          </w:tcPr>
          <w:p>
            <w:r>
              <w:t>15.75</w:t>
            </w:r>
          </w:p>
        </w:tc>
      </w:tr>
    </w:tbl>
    <w:p>
      <w:r>
        <w:t>Interpretation. On the conservative likelihood range, a constant-amplitude model already fits well and the fixed-width minimal kernel adds little. On the aggressive range, the fixed-width codimension-tied kernel captures most of the additional structure beyond the constant baseline.</w:t>
      </w:r>
    </w:p>
    <w:p>
      <w:r>
        <w:t>5.2 DESI DR2 BAO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6F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994"/>
            <w:shd w:fill="DCE6F1"/>
          </w:tcPr>
          <w:p>
            <w:r>
              <w:rPr>
                <w:b/>
              </w:rPr>
              <w:t>χ²_red</w:t>
            </w:r>
          </w:p>
        </w:tc>
        <w:tc>
          <w:tcPr>
            <w:tcW w:type="dxa" w:w="1994"/>
            <w:shd w:fill="DCE6F1"/>
          </w:tcPr>
          <w:p>
            <w:r>
              <w:rPr>
                <w:b/>
              </w:rPr>
              <w:t>AIC</w:t>
            </w:r>
          </w:p>
        </w:tc>
        <w:tc>
          <w:tcPr>
            <w:tcW w:type="dxa" w:w="1994"/>
            <w:shd w:fill="DCE6F1"/>
          </w:tcPr>
          <w:p>
            <w:r>
              <w:rPr>
                <w:b/>
              </w:rPr>
              <w:t>BIC</w:t>
            </w:r>
          </w:p>
        </w:tc>
        <w:tc>
          <w:tcPr>
            <w:tcW w:type="dxa" w:w="1994"/>
            <w:shd w:fill="DCE6F1"/>
          </w:tcPr>
          <w:p>
            <w:r>
              <w:rPr>
                <w:b/>
              </w:rPr>
              <w:t>RMS %</w:t>
            </w:r>
          </w:p>
        </w:tc>
      </w:tr>
      <w:tr>
        <w:tc>
          <w:tcPr>
            <w:tcW w:type="dxa" w:w="1994"/>
          </w:tcPr>
          <w:p>
            <w:r>
              <w:t>M1_LCDM_baseline</w:t>
            </w:r>
          </w:p>
        </w:tc>
        <w:tc>
          <w:tcPr>
            <w:tcW w:type="dxa" w:w="1994"/>
          </w:tcPr>
          <w:p>
            <w:r>
              <w:t>0.934</w:t>
            </w:r>
          </w:p>
        </w:tc>
        <w:tc>
          <w:tcPr>
            <w:tcW w:type="dxa" w:w="1994"/>
          </w:tcPr>
          <w:p>
            <w:r>
              <w:t>14.27</w:t>
            </w:r>
          </w:p>
        </w:tc>
        <w:tc>
          <w:tcPr>
            <w:tcW w:type="dxa" w:w="1994"/>
          </w:tcPr>
          <w:p>
            <w:r>
              <w:t>15.40</w:t>
            </w:r>
          </w:p>
        </w:tc>
        <w:tc>
          <w:tcPr>
            <w:tcW w:type="dxa" w:w="1994"/>
          </w:tcPr>
          <w:p>
            <w:r>
              <w:t>1.466</w:t>
            </w:r>
          </w:p>
        </w:tc>
      </w:tr>
      <w:tr>
        <w:tc>
          <w:tcPr>
            <w:tcW w:type="dxa" w:w="1994"/>
          </w:tcPr>
          <w:p>
            <w:r>
              <w:t>M2_fixed_width_kernel</w:t>
            </w:r>
          </w:p>
        </w:tc>
        <w:tc>
          <w:tcPr>
            <w:tcW w:type="dxa" w:w="1994"/>
          </w:tcPr>
          <w:p>
            <w:r>
              <w:t>1.080</w:t>
            </w:r>
          </w:p>
        </w:tc>
        <w:tc>
          <w:tcPr>
            <w:tcW w:type="dxa" w:w="1994"/>
          </w:tcPr>
          <w:p>
            <w:r>
              <w:t>17.72</w:t>
            </w:r>
          </w:p>
        </w:tc>
        <w:tc>
          <w:tcPr>
            <w:tcW w:type="dxa" w:w="1994"/>
          </w:tcPr>
          <w:p>
            <w:r>
              <w:t>19.98</w:t>
            </w:r>
          </w:p>
        </w:tc>
        <w:tc>
          <w:tcPr>
            <w:tcW w:type="dxa" w:w="1994"/>
          </w:tcPr>
          <w:p>
            <w:r>
              <w:t>1.409</w:t>
            </w:r>
          </w:p>
        </w:tc>
      </w:tr>
      <w:tr>
        <w:tc>
          <w:tcPr>
            <w:tcW w:type="dxa" w:w="1994"/>
          </w:tcPr>
          <w:p>
            <w:r>
              <w:t>M3_free_width_kernel</w:t>
            </w:r>
          </w:p>
        </w:tc>
        <w:tc>
          <w:tcPr>
            <w:tcW w:type="dxa" w:w="1994"/>
          </w:tcPr>
          <w:p>
            <w:r>
              <w:t>0.814</w:t>
            </w:r>
          </w:p>
        </w:tc>
        <w:tc>
          <w:tcPr>
            <w:tcW w:type="dxa" w:w="1994"/>
          </w:tcPr>
          <w:p>
            <w:r>
              <w:t>16.51</w:t>
            </w:r>
          </w:p>
        </w:tc>
        <w:tc>
          <w:tcPr>
            <w:tcW w:type="dxa" w:w="1994"/>
          </w:tcPr>
          <w:p>
            <w:r>
              <w:t>19.34</w:t>
            </w:r>
          </w:p>
        </w:tc>
        <w:tc>
          <w:tcPr>
            <w:tcW w:type="dxa" w:w="1994"/>
          </w:tcPr>
          <w:p>
            <w:r>
              <w:t>1.300</w:t>
            </w:r>
          </w:p>
        </w:tc>
      </w:tr>
    </w:tbl>
    <w:p>
      <w:r>
        <w:t>Interpretation. The same fixed-width minimal kernel does not transfer strongly to DESI DR2 BAO. The core may transfer, but the response kernel remains probe-dependent.</w:t>
      </w:r>
    </w:p>
    <w:p>
      <w:pPr>
        <w:pStyle w:val="Heading1"/>
      </w:pPr>
      <w:r>
        <w:rPr>
          <w:color w:val="143A52"/>
        </w:rPr>
        <w:t>6. Reproducibility package</w:t>
      </w:r>
    </w:p>
    <w:p>
      <w:pPr>
        <w:pStyle w:val="ListBullet"/>
      </w:pPr>
      <w:r>
        <w:t>planck2018_lensing_mv_conservative_from_table1.csv — transcribed Planck 2018 MV conservative bandpowers</w:t>
      </w:r>
    </w:p>
    <w:p>
      <w:pPr>
        <w:pStyle w:val="ListBullet"/>
      </w:pPr>
      <w:r>
        <w:t>planck2018_lensing_mv_aggressive_from_table1.csv — transcribed Planck 2018 MV aggressive bandpowers</w:t>
      </w:r>
    </w:p>
    <w:p>
      <w:pPr>
        <w:pStyle w:val="ListBullet"/>
      </w:pPr>
      <w:r>
        <w:t>uqcf_minimal_kernel_nested_fit_results.csv — Planck nested-model fit metrics</w:t>
      </w:r>
    </w:p>
    <w:p>
      <w:pPr>
        <w:pStyle w:val="ListBullet"/>
      </w:pPr>
      <w:r>
        <w:t>desi_gaussian_bao_ALL_GCcomb_mean.txt — DESI DR2 BAO mean vector from CobayaSampler/bao_data</w:t>
      </w:r>
    </w:p>
    <w:p>
      <w:pPr>
        <w:pStyle w:val="ListBullet"/>
      </w:pPr>
      <w:r>
        <w:t>desi_gaussian_bao_ALL_GCcomb_cov.txt — DESI DR2 BAO covariance from CobayaSampler/bao_data</w:t>
      </w:r>
    </w:p>
    <w:p>
      <w:pPr>
        <w:pStyle w:val="ListBullet"/>
      </w:pPr>
      <w:r>
        <w:t>desi_dr2_bao_mean_vector_parsed.csv — parsed DESI DR2 BAO mean vector</w:t>
      </w:r>
    </w:p>
    <w:p>
      <w:pPr>
        <w:pStyle w:val="ListBullet"/>
      </w:pPr>
      <w:r>
        <w:t>desi_dr2_bao_nested_kernel_results.csv — DESI DR2 nested-model fit metrics</w:t>
      </w:r>
    </w:p>
    <w:p>
      <w:r>
        <w:t>Minimal reproduction instructions:</w:t>
      </w:r>
    </w:p>
    <w:p>
      <w:pPr>
        <w:pStyle w:val="ListNumber"/>
      </w:pPr>
      <w:r>
        <w:t>Recreate the action-level derivation exactly as written in Section 3.</w:t>
      </w:r>
    </w:p>
    <w:p>
      <w:pPr>
        <w:pStyle w:val="ListNumber"/>
      </w:pPr>
      <w:r>
        <w:t>Verify that the exponent map D_f = 2 + σ and γ = 1 − σ follows from the power-law memory kernel.</w:t>
      </w:r>
    </w:p>
    <w:p>
      <w:pPr>
        <w:pStyle w:val="ListNumber"/>
      </w:pPr>
      <w:r>
        <w:t>Evaluate the closure equation ln(N_eff) − 1/(1+σ*) = r σ* + s σ*² at σ* = 0.7387.</w:t>
      </w:r>
    </w:p>
    <w:p>
      <w:pPr>
        <w:pStyle w:val="ListNumber"/>
      </w:pPr>
      <w:r>
        <w:t>Refit the Planck and DESI datasets with the same model hierarchy reported here.</w:t>
      </w:r>
    </w:p>
    <w:p>
      <w:pPr>
        <w:pStyle w:val="Heading1"/>
      </w:pPr>
      <w:r>
        <w:rPr>
          <w:color w:val="143A52"/>
        </w:rPr>
        <w:t>7. What is derived vs. what remains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shd w:fill="DCE6F1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86"/>
          </w:tcPr>
          <w:p>
            <w:r>
              <w:t>Derived in this note</w:t>
            </w:r>
          </w:p>
        </w:tc>
        <w:tc>
          <w:tcPr>
            <w:tcW w:type="dxa" w:w="4986"/>
          </w:tcPr>
          <w:p>
            <w:r>
              <w:t>Unified local + nonlocal action; non-Markovian coherence equation; exponent map D_f = 2 + σ and γ = 1 − σ; fixed-point closure equation in r and s; downstream relations δ ~ γ^3 and β ≈ −1 + O(γ^4).</w:t>
            </w:r>
          </w:p>
        </w:tc>
      </w:tr>
      <w:tr>
        <w:tc>
          <w:tcPr>
            <w:tcW w:type="dxa" w:w="4986"/>
          </w:tcPr>
          <w:p>
            <w:r>
              <w:t>Still unresolved</w:t>
            </w:r>
          </w:p>
        </w:tc>
        <w:tc>
          <w:tcPr>
            <w:tcW w:type="dxa" w:w="4986"/>
          </w:tcPr>
          <w:p>
            <w:r>
              <w:t>Unique microscopic derivation of the two closure ratios r = B/α and s = C/α, and therefore a fully unique derivation of the exact numerical attractor σ* = 0.7387 from bare theory alone.</w:t>
            </w:r>
          </w:p>
        </w:tc>
      </w:tr>
    </w:tbl>
    <w:p>
      <w:pPr>
        <w:pStyle w:val="Heading1"/>
      </w:pPr>
      <w:r>
        <w:rPr>
          <w:color w:val="143A52"/>
        </w:rPr>
        <w:t>8. Bottom line</w:t>
      </w:r>
    </w:p>
    <w:p>
      <w:r>
        <w:t>The strongest defensible claim is that UQCF-GEM now has a reproducible first-principles-guided derivation scaffold: local action + nonlocal coherence memory + entropy/coherence backreaction imply an emergent anomalous exponent σ, with D_f = 2 + σ and γ = 1 − σ. The exact numerical attractor is no longer a broad conceptual gap; it is a specific two-ratio closure problem.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UQCF-GEM compressed-core derivation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