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center"/>
      </w:pPr>
      <w:r>
        <w:rPr>
          <w:b/>
        </w:rPr>
        <w:t>Quantum-to-Fractal Transition Law in UQCF-GEM</w:t>
      </w:r>
    </w:p>
    <w:p>
      <w:pPr>
        <w:pStyle w:val="SubtitleCustom"/>
        <w:jc w:val="center"/>
      </w:pPr>
      <w:r>
        <w:t xml:space="preserve">Short technical note for AI reproducibility and review. </w:t>
      </w:r>
      <w:r>
        <w:t>Scope: current derivation scaffold, exact equations used, what is derived, and the single remaining microscopic gap.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EF3F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/>
            <w:r>
              <w:rPr>
                <w:b/>
              </w:rPr>
              <w:t xml:space="preserve">Core result. </w:t>
            </w:r>
            <w:r>
              <w:t xml:space="preserve">The current scaffold reduces the problem to a single fixed-point closure for the anomalous memory exponent </w:t>
            </w:r>
            <w:r>
              <w:rPr>
                <w:i/>
              </w:rPr>
              <w:t>σ*</w:t>
            </w:r>
            <w:r>
              <w:t xml:space="preserve">, with </w:t>
            </w:r>
            <w:r>
              <w:rPr>
                <w:b/>
              </w:rPr>
              <w:t>Df = 2 + σ*</w:t>
            </w:r>
            <w:r>
              <w:t xml:space="preserve"> and </w:t>
            </w:r>
            <w:r>
              <w:rPr>
                <w:b/>
              </w:rPr>
              <w:t>γ = 1 − σ*</w:t>
            </w:r>
            <w:r>
              <w:t xml:space="preserve">. The compressed core then follows as </w:t>
            </w:r>
            <w:r>
              <w:rPr>
                <w:b/>
              </w:rPr>
              <w:t>δ ~ γ³</w:t>
            </w:r>
            <w:r>
              <w:t xml:space="preserve"> and </w:t>
            </w:r>
            <w:r>
              <w:rPr>
                <w:b/>
              </w:rPr>
              <w:t>β ≈ −1 + O(γ⁴)</w:t>
            </w:r>
            <w:r>
              <w:t>. The remaining gap is the exact microscopic normalization of the entropy-cost side of the closure.</w:t>
            </w:r>
          </w:p>
        </w:tc>
      </w:tr>
    </w:tbl>
    <w:p/>
    <w:p>
      <w:pPr>
        <w:pStyle w:val="Heading1Custom"/>
      </w:pPr>
      <w:r>
        <w:t>1. Fixed scaffold</w:t>
      </w:r>
    </w:p>
    <w:p>
      <w:pPr>
        <w:ind w:left="259" w:hanging="173"/>
      </w:pPr>
      <w:r>
        <w:rPr>
          <w:b/>
        </w:rPr>
        <w:t xml:space="preserve">• </w:t>
      </w:r>
      <w:r>
        <w:t>Local action from UQCF-GEM: gravity + scalar coherence field φ + SM terms, with fractal mode scaling and modified commutators.</w:t>
      </w:r>
    </w:p>
    <w:p>
      <w:pPr>
        <w:ind w:left="259" w:hanging="173"/>
      </w:pPr>
      <w:r>
        <w:rPr>
          <w:b/>
        </w:rPr>
        <w:t xml:space="preserve">• </w:t>
      </w:r>
      <w:r>
        <w:t>Nonlocal coherence term from the IQC framework, reduced under homogeneity to a time-memory kernel.</w:t>
      </w:r>
    </w:p>
    <w:p>
      <w:pPr>
        <w:ind w:left="259" w:hanging="173"/>
      </w:pPr>
      <w:r>
        <w:rPr>
          <w:b/>
        </w:rPr>
        <w:t xml:space="preserve">• </w:t>
      </w:r>
      <w:r>
        <w:t>Entropy/coherence backreaction from the Kahan continuous-time dynamics (damping + bounded recovery).</w:t>
      </w:r>
    </w:p>
    <w:p>
      <w:pPr>
        <w:pStyle w:val="Heading1Custom"/>
      </w:pPr>
      <w:r>
        <w:t>2. Effective action and coherence equation</w:t>
      </w:r>
    </w:p>
    <w:p>
      <w:pPr/>
      <w:r>
        <w:t>Take the effective action as the sum of the local UQCF-GEM action and the IQC nonlocal coherence term:</w:t>
      </w:r>
    </w:p>
    <w:p>
      <w:pPr>
        <w:ind w:left="259" w:hanging="173"/>
      </w:pPr>
      <w:r>
        <w:rPr>
          <w:b/>
        </w:rPr>
        <w:t xml:space="preserve">• </w:t>
      </w:r>
      <w:r>
        <w:t>S_eff = S_local + S_coh</w:t>
      </w:r>
    </w:p>
    <w:p>
      <w:pPr>
        <w:ind w:left="259" w:hanging="173"/>
      </w:pPr>
      <w:r>
        <w:rPr>
          <w:b/>
        </w:rPr>
        <w:t xml:space="preserve">• </w:t>
      </w:r>
      <w:r>
        <w:t>Variation with respect to φ gives a non-Markovian coherence equation:</w:t>
      </w:r>
    </w:p>
    <w:p>
      <w:pPr>
        <w:ind w:left="259" w:hanging="173"/>
      </w:pPr>
      <w:r>
        <w:rPr>
          <w:b/>
        </w:rPr>
        <w:t xml:space="preserve">• </w:t>
      </w:r>
      <w:r>
        <w:t>φ¨(t) + ω0² φ(t) + g_c ∫ dt′ Γ(t − t′) φ(t′) = 0</w:t>
      </w:r>
    </w:p>
    <w:p>
      <w:pPr>
        <w:pStyle w:val="Heading1Custom"/>
      </w:pPr>
      <w:r>
        <w:t>3. Memory kernel and exponent map</w:t>
      </w:r>
    </w:p>
    <w:p>
      <w:pPr/>
      <w:r>
        <w:t>Assume a long-memory tail Γ(t) ~ |t|^(−1−σ), with 0 &lt; σ &lt; 1.</w:t>
      </w:r>
    </w:p>
    <w:p>
      <w:pPr>
        <w:ind w:left="259" w:hanging="173"/>
      </w:pPr>
      <w:r>
        <w:rPr>
          <w:b/>
        </w:rPr>
        <w:t xml:space="preserve">• </w:t>
      </w:r>
      <w:r>
        <w:t>In frequency space, Γ̃(ω) ~ |ω|^σ. This yields the emergence map:</w:t>
      </w:r>
    </w:p>
    <w:p>
      <w:pPr>
        <w:ind w:left="259" w:hanging="173"/>
      </w:pPr>
      <w:r>
        <w:rPr>
          <w:b/>
        </w:rPr>
        <w:t xml:space="preserve">• </w:t>
      </w:r>
      <w:r>
        <w:t>D_f = 2 + σ,    γ = 1 − σ</w:t>
      </w:r>
    </w:p>
    <w:p>
      <w:pPr>
        <w:ind w:left="259" w:hanging="173"/>
      </w:pPr>
      <w:r>
        <w:rPr>
          <w:b/>
        </w:rPr>
        <w:t xml:space="preserve">• </w:t>
      </w:r>
      <w:r>
        <w:t>Interpretation: the fractal dimension is the anomalous exponent of the coherence-memory sector.</w:t>
      </w:r>
    </w:p>
    <w:p>
      <w:pPr>
        <w:pStyle w:val="Heading1Custom"/>
      </w:pPr>
      <w:r>
        <w:t>4. Coherence retention from the mode structure</w:t>
      </w:r>
    </w:p>
    <w:p>
      <w:pPr/>
      <w:r>
        <w:t>Using the mode ansatz and modified commutators weighted by n^(D_f−2) = n^σ, define the intensive coherence-gain functional:</w:t>
      </w:r>
    </w:p>
    <w:p>
      <w:pPr>
        <w:ind w:left="259" w:hanging="173"/>
      </w:pPr>
      <w:r>
        <w:rPr>
          <w:b/>
        </w:rPr>
        <w:t xml:space="preserve">• </w:t>
      </w:r>
      <w:r>
        <w:t>C(σ) = 1 − 1 / ((1 + σ) ln N_eff)</w:t>
      </w:r>
    </w:p>
    <w:p>
      <w:pPr>
        <w:ind w:left="259" w:hanging="173"/>
      </w:pPr>
      <w:r>
        <w:rPr>
          <w:b/>
        </w:rPr>
        <w:t xml:space="preserve">• </w:t>
      </w:r>
      <w:r>
        <w:t>with N_eff = 1.37 × 10^21 and ln N_eff ≈ 48.67.</w:t>
      </w:r>
    </w:p>
    <w:p>
      <w:pPr>
        <w:pStyle w:val="Heading1Custom"/>
      </w:pPr>
      <w:r>
        <w:t>5. Irreversible loss and closure</w:t>
      </w:r>
    </w:p>
    <w:p>
      <w:pPr/>
      <w:r>
        <w:t>Use a minimal entropy/loss functional near the fixed point:</w:t>
      </w:r>
    </w:p>
    <w:p>
      <w:pPr>
        <w:ind w:left="259" w:hanging="173"/>
      </w:pPr>
      <w:r>
        <w:rPr>
          <w:b/>
        </w:rPr>
        <w:t xml:space="preserve">• </w:t>
      </w:r>
      <w:r>
        <w:t>E(σ) = rσ + sσ²</w:t>
      </w:r>
    </w:p>
    <w:p>
      <w:pPr>
        <w:ind w:left="259" w:hanging="173"/>
      </w:pPr>
      <w:r>
        <w:rPr>
          <w:b/>
        </w:rPr>
        <w:t xml:space="preserve">• </w:t>
      </w:r>
      <w:r>
        <w:t>where r is the leading loss scale and s is the higher-order saturation term.</w:t>
      </w:r>
    </w:p>
    <w:p>
      <w:pPr>
        <w:ind w:left="259" w:hanging="173"/>
      </w:pPr>
      <w:r>
        <w:rPr>
          <w:b/>
        </w:rPr>
        <w:t xml:space="preserve">• </w:t>
      </w:r>
      <w:r>
        <w:t>Define the coarse-grained functional F(σ) = −C(σ) + E(σ).</w:t>
      </w:r>
    </w:p>
    <w:p>
      <w:pPr>
        <w:ind w:left="259" w:hanging="173"/>
      </w:pPr>
      <w:r>
        <w:rPr>
          <w:b/>
        </w:rPr>
        <w:t xml:space="preserve">• </w:t>
      </w:r>
      <w:r>
        <w:t>The attractor is defined by the fixed-point closure:</w:t>
      </w:r>
    </w:p>
    <w:p>
      <w:pPr>
        <w:ind w:left="259" w:hanging="173"/>
      </w:pPr>
      <w:r>
        <w:rPr>
          <w:b/>
        </w:rPr>
        <w:t xml:space="preserve">• </w:t>
      </w:r>
      <w:r>
        <w:t>1 − 1 / ((1 + σ*) ln N_eff) = rσ* + sσ*²</w:t>
      </w:r>
    </w:p>
    <w:p>
      <w:pPr>
        <w:pStyle w:val="Heading1Custom"/>
      </w:pPr>
      <w:r>
        <w:t>6. Current best identification</w:t>
      </w:r>
    </w:p>
    <w:p>
      <w:pPr/>
      <w:r>
        <w:t>Within the current scaffold, the best working values are:</w:t>
      </w:r>
    </w:p>
    <w:p>
      <w:pPr>
        <w:ind w:left="259" w:hanging="173"/>
      </w:pPr>
      <w:r>
        <w:rPr>
          <w:b/>
        </w:rPr>
        <w:t xml:space="preserve">• </w:t>
      </w:r>
      <w:r>
        <w:t>σ* ≈ 0.7387,    D_f ≈ 2.7387,    γ ≈ 0.2613</w:t>
      </w:r>
    </w:p>
    <w:p>
      <w:pPr>
        <w:ind w:left="259" w:hanging="173"/>
      </w:pPr>
      <w:r>
        <w:rPr>
          <w:b/>
        </w:rPr>
        <w:t xml:space="preserve">• </w:t>
      </w:r>
      <w:r>
        <w:t>r ≈ 0.667,    s ≈ 0.91</w:t>
      </w:r>
    </w:p>
    <w:p>
      <w:pPr>
        <w:ind w:left="259" w:hanging="173"/>
      </w:pPr>
      <w:r>
        <w:rPr>
          <w:b/>
        </w:rPr>
        <w:t xml:space="preserve">• </w:t>
      </w:r>
      <w:r>
        <w:t>These values satisfy the closure consistently within the present normalization scheme, but are still identified rather than uniquely derived from full action variation.</w:t>
      </w:r>
    </w:p>
    <w:p>
      <w:pPr>
        <w:pStyle w:val="Heading1Custom"/>
      </w:pPr>
      <w:r>
        <w:t>7. Downstream compressed core</w:t>
      </w:r>
    </w:p>
    <w:p>
      <w:pPr/>
      <w:r>
        <w:t>Once σ* is fixed, the compressed core follows within the scaffold:</w:t>
      </w:r>
    </w:p>
    <w:p>
      <w:pPr>
        <w:ind w:left="259" w:hanging="173"/>
      </w:pPr>
      <w:r>
        <w:rPr>
          <w:b/>
        </w:rPr>
        <w:t xml:space="preserve">• </w:t>
      </w:r>
      <w:r>
        <w:t>δ ~ γ³</w:t>
      </w:r>
    </w:p>
    <w:p>
      <w:pPr>
        <w:ind w:left="259" w:hanging="173"/>
      </w:pPr>
      <w:r>
        <w:rPr>
          <w:b/>
        </w:rPr>
        <w:t xml:space="preserve">• </w:t>
      </w:r>
      <w:r>
        <w:t>β ≈ −1 + O(γ⁴)</w:t>
      </w:r>
    </w:p>
    <w:p>
      <w:pPr>
        <w:pStyle w:val="Heading1Custom"/>
      </w:pPr>
      <w:r>
        <w:t>8. What is derived vs. what remains open</w:t>
      </w:r>
    </w:p>
    <w:p>
      <w:pPr>
        <w:ind w:left="259" w:hanging="173"/>
      </w:pPr>
      <w:r>
        <w:rPr>
          <w:b/>
        </w:rPr>
        <w:t xml:space="preserve">• </w:t>
      </w:r>
      <w:r>
        <w:t>Derived to a meaningful degree: action + memory dynamics + exponent map + fixed-point closure form.</w:t>
      </w:r>
    </w:p>
    <w:p>
      <w:pPr>
        <w:ind w:left="259" w:hanging="173"/>
      </w:pPr>
      <w:r>
        <w:rPr>
          <w:b/>
        </w:rPr>
        <w:t xml:space="preserve">• </w:t>
      </w:r>
      <w:r>
        <w:t>Open: the exact microscopic normalization constants that convert the mode-sum logarithm and Kahan backreaction into the entropy-cost scale.</w:t>
      </w:r>
    </w:p>
    <w:p>
      <w:pPr>
        <w:pStyle w:val="Heading1Custom"/>
      </w:pPr>
      <w:r>
        <w:t>9. Reproducibility inputs</w:t>
      </w:r>
    </w:p>
    <w:p>
      <w:pPr>
        <w:ind w:left="259" w:hanging="173"/>
      </w:pPr>
      <w:r>
        <w:rPr>
          <w:b/>
        </w:rPr>
        <w:t xml:space="preserve">• </w:t>
      </w:r>
      <w:r>
        <w:t>Other AIs can reproduce the current scaffold using the public bundle containing the Planck / DESI derived data files, fit summaries, and the earlier reproducibility note.</w:t>
      </w:r>
    </w:p>
    <w:p>
      <w:pPr>
        <w:ind w:left="259" w:hanging="173"/>
      </w:pPr>
      <w:r>
        <w:rPr>
          <w:b/>
        </w:rPr>
        <w:t xml:space="preserve">• </w:t>
      </w:r>
      <w:r>
        <w:t>This note intentionally avoids re-bundling those files and only states the derivation scaffold and current closure status.</w:t>
      </w:r>
    </w:p>
    <w:p>
      <w:pPr>
        <w:pStyle w:val="Heading1Custom"/>
      </w:pPr>
      <w:r>
        <w:t>Key equations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5F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Item</w:t>
            </w:r>
          </w:p>
        </w:tc>
        <w:tc>
          <w:tcPr>
            <w:tcW w:type="dxa" w:w="4896"/>
            <w:shd w:fill="D9E5F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Expression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Effective action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S_eff = S_local + S_coh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Memory kernel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Γ(t) ~ |t|^(−1−σ)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Exponent map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D_f = 2 + σ ; γ = 1 − σ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Coherence gain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C(σ) = 1 − 1 / ((1 + σ) ln N_eff)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Entropy cost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E(σ) = rσ + sσ²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Fixed-point closure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1 − 1 / ((1 + σ*) ln N_eff) = rσ* + sσ*²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Best current values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σ* ≈ 0.7387 ; r ≈ 0.667 ; s ≈ 0.91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Compressed core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δ ~ γ³ ; β ≈ −1 + O(γ⁴)</w:t>
            </w:r>
          </w:p>
        </w:tc>
      </w:tr>
    </w:tbl>
    <w:p/>
    <w:p>
      <w:pPr>
        <w:pStyle w:val="BodySmall"/>
        <w:jc w:val="center"/>
      </w:pPr>
      <w:r>
        <w:rPr>
          <w:b/>
        </w:rPr>
        <w:t xml:space="preserve">Status: </w:t>
      </w:r>
      <w:r>
        <w:t>first-principles-guided effective scaffold with one narrow normalization problem left.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pPr>
      <w:spacing w:before="0" w:after="200"/>
    </w:pPr>
    <w:rPr>
      <w:rFonts w:ascii="Aptos" w:hAnsi="Aptos"/>
      <w:b/>
      <w:color w:val="183E78"/>
      <w:sz w:val="36"/>
    </w:rPr>
  </w:style>
  <w:style w:type="paragraph" w:customStyle="1" w:styleId="SubtitleCustom">
    <w:name w:val="SubtitleCustom"/>
    <w:basedOn w:val="Normal"/>
    <w:pPr>
      <w:spacing w:before="0" w:after="240"/>
    </w:pPr>
    <w:rPr>
      <w:rFonts w:ascii="Aptos" w:hAnsi="Aptos"/>
      <w:b w:val="0"/>
      <w:color w:val="5A5A5A"/>
      <w:sz w:val="21"/>
    </w:rPr>
  </w:style>
  <w:style w:type="paragraph" w:customStyle="1" w:styleId="Heading1Custom">
    <w:name w:val="Heading1Custom"/>
    <w:basedOn w:val="Normal"/>
    <w:pPr>
      <w:spacing w:before="200" w:after="80"/>
    </w:pPr>
    <w:rPr>
      <w:rFonts w:ascii="Aptos" w:hAnsi="Aptos"/>
      <w:b/>
      <w:color w:val="183E78"/>
      <w:sz w:val="26"/>
    </w:rPr>
  </w:style>
  <w:style w:type="paragraph" w:customStyle="1" w:styleId="Heading2Custom">
    <w:name w:val="Heading2Custom"/>
    <w:basedOn w:val="Normal"/>
    <w:pPr>
      <w:spacing w:before="120" w:after="40"/>
    </w:pPr>
    <w:rPr>
      <w:rFonts w:ascii="Aptos" w:hAnsi="Aptos"/>
      <w:b/>
      <w:color w:val="323232"/>
      <w:sz w:val="23"/>
    </w:rPr>
  </w:style>
  <w:style w:type="paragraph" w:customStyle="1" w:styleId="BodySmall">
    <w:name w:val="BodySmall"/>
    <w:basedOn w:val="Normal"/>
    <w:pPr>
      <w:spacing w:before="0" w:after="40"/>
    </w:pPr>
    <w:rPr>
      <w:rFonts w:ascii="Aptos" w:hAnsi="Aptos"/>
      <w:b w:val="0"/>
      <w:color w:val="46464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