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V513 Gap Closure Report</w:t>
      </w:r>
    </w:p>
    <w:p>
      <w:r>
        <w:t>This report summarizes the operational closure of Gap #6: the derivation and interpretation of η_convert.</w:t>
      </w:r>
    </w:p>
    <w:p>
      <w:pPr>
        <w:pStyle w:val="Heading2"/>
      </w:pPr>
      <w:r>
        <w:t>Original Problem</w:t>
      </w:r>
    </w:p>
    <w:p>
      <w:r>
        <w:t>Large nominal branch volume B_t does not guarantee recoverability. η_convert was introduced to distinguish usable liquid geometry from nominal future volume.</w:t>
      </w:r>
    </w:p>
    <w:p>
      <w:pPr>
        <w:pStyle w:val="Heading2"/>
      </w:pPr>
      <w:r>
        <w:t>Frozen Reserve Law</w:t>
      </w:r>
    </w:p>
    <w:p>
      <w:r>
        <w:t>C_t = M_t R_t L_t + λ₀ η_convert B_t</w:t>
      </w:r>
    </w:p>
    <w:p>
      <w:pPr>
        <w:pStyle w:val="Heading2"/>
      </w:pPr>
      <w:r>
        <w:t>Derived η_convert Law</w:t>
      </w:r>
    </w:p>
    <w:p>
      <w:r>
        <w:t>η_convert = (Σ w_i)/(Σ w_i / η_i) × exp[-C_repair_min]</w:t>
      </w:r>
    </w:p>
    <w:p>
      <w:pPr>
        <w:pStyle w:val="Heading2"/>
      </w:pPr>
      <w:r>
        <w:t>Interpretation</w:t>
      </w:r>
    </w:p>
    <w:p>
      <w:r>
        <w:t>η_convert measures effective recoverability liquidity through serial bottlenecks after accounting for minimum repair burden.</w:t>
      </w:r>
    </w:p>
    <w:p>
      <w:pPr>
        <w:pStyle w:val="Heading2"/>
      </w:pPr>
      <w:r>
        <w:t>Minimal Recoverability Basis</w:t>
      </w:r>
    </w:p>
    <w:p>
      <w:r>
        <w:t>Conductance</w:t>
        <w:br/>
        <w:t>Lineage continuity</w:t>
        <w:br/>
        <w:t>Topology redundancy</w:t>
        <w:br/>
        <w:t>Repair convertibility</w:t>
        <w:br/>
        <w:t>Defect containment</w:t>
      </w:r>
    </w:p>
    <w:p>
      <w:pPr>
        <w:pStyle w:val="Heading2"/>
      </w:pPr>
      <w:r>
        <w:t>Current Status</w:t>
      </w:r>
    </w:p>
    <w:p>
      <w:r>
        <w:t>Operational closure: STRONG</w:t>
        <w:br/>
        <w:t>Structural closure: STRONG</w:t>
        <w:br/>
        <w:t>Full theorem-level uniqueness: OPEN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13_gap_closure_infograph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