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V549 Theorem Boundary Update</w:t>
      </w:r>
    </w:p>
    <w:p>
      <w:pPr>
        <w:jc w:val="center"/>
      </w:pPr>
      <w:r>
        <w:t>Selective Fragility and First-Principles Boundary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49_selective_fragility_boundary_infograph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Purpose</w:t>
      </w:r>
    </w:p>
    <w:p>
      <w:r>
        <w:t>V549 updates the retained-geometry theorem after the selective-fragility audits. The key question was whether the geometry is an overlay or a first-principles recoverability structure.</w:t>
      </w:r>
    </w:p>
    <w:p>
      <w:pPr>
        <w:pStyle w:val="Heading2"/>
      </w:pPr>
      <w:r>
        <w:t>Core Result</w:t>
      </w:r>
    </w:p>
    <w:p>
      <w:r>
        <w:t>The law survives admissible transformations and fails under principle-breaking transformations. This is the selective-fragility signature.</w:t>
      </w:r>
    </w:p>
    <w:p>
      <w:pPr>
        <w:pStyle w:val="Heading2"/>
      </w:pPr>
      <w:r>
        <w:t>Should Not Break</w:t>
      </w:r>
    </w:p>
    <w:p>
      <w:r>
        <w:t>Coordinate relabeling, Ω rescaling, topology-preserving smoothing, admissible metric deformation, and moderate field noise should not destroy the law.</w:t>
      </w:r>
    </w:p>
    <w:p>
      <w:pPr>
        <w:pStyle w:val="Heading2"/>
      </w:pPr>
      <w:r>
        <w:t>Should Break</w:t>
      </w:r>
    </w:p>
    <w:p>
      <w:r>
        <w:t>Source/reserve destruction, fake B_t liquidity, hidden repair burden, scrambled defects, and coordinated fake recovery should break the law.</w:t>
      </w:r>
    </w:p>
    <w:p>
      <w:pPr>
        <w:pStyle w:val="Heading2"/>
      </w:pPr>
      <w:r>
        <w:t>V546 Addition</w:t>
      </w:r>
    </w:p>
    <w:p>
      <w:r>
        <w:t>The theorem now requires independent B_t liquidity and C_repair_min repair-burden audits. Large nominal branch volume does not count as reserve unless it is recoverable and repairable.</w:t>
      </w:r>
    </w:p>
    <w:p>
      <w:pPr>
        <w:pStyle w:val="Heading2"/>
      </w:pPr>
      <w:r>
        <w:t>Updated Validity Conditions</w:t>
      </w:r>
    </w:p>
    <w:p>
      <w:r>
        <w:t>The flow is valid only when source/reserve is preserved, B_t is independently liquid, repair burden is honestly measured, μ_defect is localized, V does not hide failure, and η_convert is calibrated.</w:t>
      </w:r>
    </w:p>
    <w:p>
      <w:pPr>
        <w:pStyle w:val="Heading2"/>
      </w:pPr>
      <w:r>
        <w:t>Updated Status</w:t>
      </w:r>
    </w:p>
    <w:p>
      <w:r>
        <w:t>The first-principles boundary is strengthened, but rigorous continuum proof, measure convergence theorem, full Lyapunov proof, and uniqueness of the η channel basis remain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