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E279A" w14:textId="77777777" w:rsidR="00A2680C" w:rsidRPr="00A2680C" w:rsidRDefault="00A2680C" w:rsidP="00A2680C">
      <w:pPr>
        <w:shd w:val="clear" w:color="auto" w:fill="EEEEFF"/>
        <w:spacing w:after="0" w:line="32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Pre-clinical developments of the G3 Designed ankyrin repeat protein (DARPin) for </w:t>
      </w:r>
      <w:r w:rsidRPr="00A2680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GB"/>
        </w:rPr>
        <w:t>in</w:t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</w:t>
      </w:r>
      <w:r w:rsidRPr="00A2680C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GB"/>
        </w:rPr>
        <w:t>vivo</w:t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assessment of HER2 expression </w:t>
      </w:r>
    </w:p>
    <w:p w14:paraId="1C31FCC3" w14:textId="77777777" w:rsidR="00A2680C" w:rsidRPr="00A2680C" w:rsidRDefault="00A2680C" w:rsidP="00A2680C">
      <w:pPr>
        <w:shd w:val="clear" w:color="auto" w:fill="EEEEFF"/>
        <w:spacing w:after="0" w:line="320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  <w:t>Short Title:</w:t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HER2 G3 DARPin imaging </w:t>
      </w:r>
    </w:p>
    <w:p w14:paraId="44BA990F" w14:textId="77777777" w:rsidR="006A26D0" w:rsidRDefault="00A2680C" w:rsidP="00A2680C">
      <w:pPr>
        <w:rPr>
          <w:rFonts w:ascii="Arial" w:hAnsi="Arial" w:cs="Arial"/>
          <w:sz w:val="20"/>
          <w:szCs w:val="20"/>
        </w:rPr>
      </w:pP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Author Block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Robert Goldstein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Berend Tolner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Julius Leyton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2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Maria Livanos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Gaurav Bhavsar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Kim Vigor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Gabriela Nagy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Steve Mather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4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Andreas Plückthun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Jane Sosabowski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2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Tim Meyer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Kerry Chester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UCL Cancer Institute, London, United Kingdom;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2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Barts Cancer Institue, London, United Kingdom;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University of Zurich, Zurich, Switzerland;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4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Barts Cancer Institute, London, United Kingdom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Abstract: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Background: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Breast cancer HER2 molecular imaging can potentially identify disease relapse, inform treatment decisions and assess treatment responses. Molecular imaging relies upon achieving high tumour:blood and tumour:normal tissue ratios. The G3 DARPin is a small protein with picomolar affinity for HER2, based on the ankyrin repeat scaffold that is expressed in humans. The hexahistidine (His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6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) tagged G3 DARPin labelled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99m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Tc(CO)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3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can image HER2+ SK-OV-3 tumours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[Zahnd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et al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 Cancer Res 2010;70:1595-605].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Alteration of the 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6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tag to a negatively charged and hydrophilic histidine-glutamate (HE)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3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tag can reduce background liver uptake, while enabling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tag mediated purification by immobilised metal affinity chromatography [Hofstrom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>et al.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J Med Chem 2011;54;3817-26]. We hypothesized that the biodistribution of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="003D097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G3 DARPin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could be optimised by altering the N-terminal domain.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Methods: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6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3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and untagged G3 were produced in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E. coli and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or </w:t>
      </w:r>
      <w:r w:rsidRPr="00A2680C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GB"/>
        </w:rPr>
        <w:t xml:space="preserve">P. pastoris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and labelled directly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or with DOTA via a C-terminal cysteine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In. BALB/c mice were injected with 0.3 MBq of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 G3. The optimal G3 construct was assessed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 in HER2+ human breast tumour (BT474)-bearing mice.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Results: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 xml:space="preserve">Biodistribution of the DARPins was evaluated in BALB/c mice at 4 and 24 h. Results showed that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had lower or similar uptake to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6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In-untagged-G3 in 11 different normal tissues tested. Superiority of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for normal tissue uptake was also observed when the DARPins were labelled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was assessed in HER2+ tumour-bearing mice. The tumour uptake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was approximately 2 fold higher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at 4 h. However,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tumour uptake was better maintained,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 xml:space="preserve">so that by 24 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tumour uptake was approximately 1.5 fold higher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-G3. Normal tissue uptake was generally lower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at 4 h, except in the kidneys which were higher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throughout. At 24 h, the differences in normal tissue uptake between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and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were smaller.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had faster serum clearance than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-G3, resulting in higher normal tissue:blood ratios for all assessed tissues except stomach. As a consequence, the tumour:blood ratios for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were the most impressive, &gt; 150:1 at 4 h and &gt; 300:1 at 24 h 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microSPECT/CT imaging demonstrated tumour uptake at 2 and 4 h.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Conclusions: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N-terminal tags effect tissue biodistribution of G3.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radiolabelled with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In and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125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 had lower uptake in normal tissues compared to untagged or His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6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tagged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 xml:space="preserve">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G3. 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GB"/>
        </w:rPr>
        <w:t>111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In-HE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-G3 achieved and maintained the highest tumour:blood ratios over 24 h. Based on its superiority, development will focus on the radiolabelled C-terminal cysteine DOTA conjugated HE</w:t>
      </w:r>
      <w:r w:rsidRPr="00A2680C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GB"/>
        </w:rPr>
        <w:t>3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-G3 for SPECT and PET HER2 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imaging.</w:t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="005963A8">
        <w:rPr>
          <w:rFonts w:ascii="Arial" w:hAnsi="Arial" w:cs="Arial"/>
          <w:b/>
          <w:bCs/>
          <w:sz w:val="20"/>
          <w:szCs w:val="20"/>
        </w:rPr>
        <w:t>Author Disclosure Information:</w:t>
      </w:r>
      <w:r w:rsidR="005963A8">
        <w:rPr>
          <w:rFonts w:ascii="Arial" w:hAnsi="Arial" w:cs="Arial"/>
          <w:sz w:val="20"/>
          <w:szCs w:val="20"/>
        </w:rPr>
        <w:t xml:space="preserve"> </w:t>
      </w:r>
      <w:r w:rsidR="005963A8">
        <w:rPr>
          <w:rFonts w:ascii="Arial" w:hAnsi="Arial" w:cs="Arial"/>
          <w:b/>
          <w:bCs/>
          <w:sz w:val="20"/>
          <w:szCs w:val="20"/>
        </w:rPr>
        <w:t>R. Goldstein:</w:t>
      </w:r>
      <w:r w:rsidR="005963A8">
        <w:rPr>
          <w:rFonts w:ascii="Arial" w:hAnsi="Arial" w:cs="Arial"/>
          <w:sz w:val="20"/>
          <w:szCs w:val="20"/>
        </w:rPr>
        <w:t xml:space="preserve"> ; EU Framework Programme 7 (FP 7 grant). ; Breast Cancer Campaign. ; Experimental Cancer Medicine Cancer Network (ECMC). </w:t>
      </w:r>
      <w:r w:rsidR="005963A8">
        <w:rPr>
          <w:rFonts w:ascii="Arial" w:hAnsi="Arial" w:cs="Arial"/>
          <w:b/>
          <w:bCs/>
          <w:sz w:val="20"/>
          <w:szCs w:val="20"/>
        </w:rPr>
        <w:t>B. Tolner: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J. Leyton: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M. Livanos: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G. Bhavsar: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K. Vigor: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G. Nagy: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S. Mather: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A. Plückthun: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J. Sosabowski: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T. Meyer:</w:t>
      </w:r>
      <w:r w:rsidR="005963A8">
        <w:rPr>
          <w:rFonts w:ascii="Arial" w:hAnsi="Arial" w:cs="Arial"/>
          <w:sz w:val="20"/>
          <w:szCs w:val="20"/>
        </w:rPr>
        <w:t xml:space="preserve"> None. </w:t>
      </w:r>
      <w:r w:rsidR="005963A8">
        <w:rPr>
          <w:rFonts w:ascii="Arial" w:hAnsi="Arial" w:cs="Arial"/>
          <w:b/>
          <w:bCs/>
          <w:sz w:val="20"/>
          <w:szCs w:val="20"/>
        </w:rPr>
        <w:t>K. Chester:</w:t>
      </w:r>
      <w:r w:rsidR="005963A8">
        <w:rPr>
          <w:rFonts w:ascii="Arial" w:hAnsi="Arial" w:cs="Arial"/>
          <w:sz w:val="20"/>
          <w:szCs w:val="20"/>
        </w:rPr>
        <w:t xml:space="preserve"> None.</w:t>
      </w:r>
    </w:p>
    <w:p w14:paraId="458EB495" w14:textId="77777777" w:rsidR="006A26D0" w:rsidRDefault="006A26D0" w:rsidP="00A2680C">
      <w:pPr>
        <w:rPr>
          <w:rFonts w:ascii="Arial" w:hAnsi="Arial" w:cs="Arial"/>
          <w:sz w:val="20"/>
          <w:szCs w:val="20"/>
        </w:rPr>
      </w:pPr>
    </w:p>
    <w:p w14:paraId="3A315003" w14:textId="77777777" w:rsidR="00CD2672" w:rsidRDefault="006A26D0" w:rsidP="00A268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in experimemtal commit</w:t>
      </w:r>
    </w:p>
    <w:p w14:paraId="0EB293B2" w14:textId="31B8C0C3" w:rsidR="00F03B24" w:rsidRPr="00A2680C" w:rsidRDefault="00CD2672" w:rsidP="00A2680C">
      <w:r>
        <w:rPr>
          <w:rFonts w:ascii="Arial" w:hAnsi="Arial" w:cs="Arial"/>
          <w:sz w:val="20"/>
          <w:szCs w:val="20"/>
        </w:rPr>
        <w:t>Test in master commit</w:t>
      </w:r>
      <w:bookmarkStart w:id="0" w:name="_GoBack"/>
      <w:bookmarkEnd w:id="0"/>
      <w:r w:rsidR="00A2680C"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="00A2680C"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="00A2680C" w:rsidRPr="00A2680C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</w:p>
    <w:sectPr w:rsidR="00F03B24" w:rsidRPr="00A2680C" w:rsidSect="00E76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842BB1"/>
    <w:rsid w:val="003D0976"/>
    <w:rsid w:val="005963A8"/>
    <w:rsid w:val="006A26D0"/>
    <w:rsid w:val="00842BB1"/>
    <w:rsid w:val="00A2680C"/>
    <w:rsid w:val="00A50C75"/>
    <w:rsid w:val="00AE119B"/>
    <w:rsid w:val="00AF2AA7"/>
    <w:rsid w:val="00CD2672"/>
    <w:rsid w:val="00D40057"/>
    <w:rsid w:val="00D66029"/>
    <w:rsid w:val="00E76493"/>
    <w:rsid w:val="00F0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28C4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4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573</Words>
  <Characters>3271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FBS AISC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 Goldstein</dc:creator>
  <cp:lastModifiedBy>May Yee Yong</cp:lastModifiedBy>
  <cp:revision>4</cp:revision>
  <dcterms:created xsi:type="dcterms:W3CDTF">2013-02-27T12:44:00Z</dcterms:created>
  <dcterms:modified xsi:type="dcterms:W3CDTF">2013-06-28T13:23:00Z</dcterms:modified>
</cp:coreProperties>
</file>