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80C" w:rsidRPr="00A2680C" w:rsidRDefault="00A2680C" w:rsidP="00A2680C">
      <w:pPr>
        <w:shd w:val="clear" w:color="auto" w:fill="EEEEFF"/>
        <w:spacing w:after="0" w:line="32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Pre-clinical developments of the G3 Designed ankyrin repeat protein (DARPin) for </w:t>
      </w:r>
      <w:r w:rsidRPr="00A2680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in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A2680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vivo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assessment of HER2 expression </w:t>
      </w:r>
    </w:p>
    <w:p w:rsidR="00A2680C" w:rsidRPr="00A2680C" w:rsidRDefault="00A2680C" w:rsidP="00A2680C">
      <w:pPr>
        <w:shd w:val="clear" w:color="auto" w:fill="EEEEFF"/>
        <w:spacing w:after="0" w:line="32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  <w:t>Short Title: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HER2 G3 DARPin imaging </w:t>
      </w:r>
    </w:p>
    <w:p w:rsidR="00F03B24" w:rsidRPr="00A2680C" w:rsidRDefault="00A2680C" w:rsidP="00A2680C"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Author Block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Robert Goldstein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Berend Tolner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Julius Leyton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Maria Livanos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Gaurav Bhavsar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Kim Vigor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Gabriela Nagy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Steve Mather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4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Andreas Plückthun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Jane Sosabowski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Tim Meyer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Kerry Chester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UCL Cancer Institute, London, United Kingdom;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Barts Cancer Institue, London, United Kingdom;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University of Zurich, Zurich, Switzerland;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4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Barts Cancer Institute, London, United Kingdom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Abstract: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Background: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Breast cancer HER2 molecular imaging can potentially identify disease relapse, inform treatment decisions and assess treatment responses. Molecular imaging relies upon achieving high tumour:blood and tumour:normal tissue ratios. The G3 DARPin is a small protein with picomolar affinity for HER2, based on the ankyrin repeat scaffold that is expressed in humans. The hexahistidine (His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 tagged G3 DARPin 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99m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Tc(CO)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can image HER2+ SK-OV-3 tumours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[Zahnd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et al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 Cancer Res 2010;70:1595-605].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Alteration of the 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6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 to a negatively charged and hydrophilic histidine-glutamate (HE)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 can reduce background liver uptake, while enabling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tag mediated purification by immobilised metal affinity chromatography [Hofstrom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et al.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J Med Chem 2011;54;3817-26]. We hypothesized that the biodistribution of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="003D09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G3 DARPin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could be optimised by altering the N-terminal domain.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Methods: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and untagged G3 were produced in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E. coli and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or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P. pastoris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and labelled directly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or with DOTA via a C-terminal cysteine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In. BALB/c mice were injected with 0.3 MBq of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G3. The optimal G3 construct was assessed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 in HER2+ human breast tumour (BT474)-bearing mice.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Results: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Biodistribution of the DARPins was evaluated in BALB/c mice at 4 and 24 h. Results showed that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had lower or similar uptake to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In-untagged-G3 in 11 different normal tissues tested. Superiority of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for normal tissue uptake was also observed when the DARPins were 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was assessed in HER2+ tumour-bearing mice. The tumour uptake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was approximately 2 fold higher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at 4 h. However,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tumour uptake was better maintained,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so that by 24 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tumour uptake was approximately 1.5 fold higher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-G3. Normal tissue uptake was generally lower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at 4 h, except in the kidneys which were higher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throughout. At 24 h, the differences in normal tissue uptake between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and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were smaller.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had faster serum clearance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-G3, resulting in higher normal tissue:blood ratios for all assessed tissues except stomach. As a consequence, the tumour:blood ratios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were the most impressive, &gt; 150:1 at 4 h and &gt; 300:1 at 24 h 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microSPECT/CT imaging demonstrated tumour uptake at 2 and 4 h.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Conclusions: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N-terminal tags effect tissue biodistribution of G3.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radiolabelled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 had lower uptake in normal tissues compared to untagged or 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6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tagged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G3.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achieved and maintained the highest tumour:blood ratios over 24 h. Based on its superiority, development will focus on the radiolabelled C-terminal cysteine DOTA conjugated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for SPECT and PET HER2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imaging.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="005963A8">
        <w:rPr>
          <w:rFonts w:ascii="Arial" w:hAnsi="Arial" w:cs="Arial"/>
          <w:b/>
          <w:bCs/>
          <w:sz w:val="20"/>
          <w:szCs w:val="20"/>
        </w:rPr>
        <w:t>Author Disclosure Information:</w:t>
      </w:r>
      <w:r w:rsidR="005963A8">
        <w:rPr>
          <w:rFonts w:ascii="Arial" w:hAnsi="Arial" w:cs="Arial"/>
          <w:sz w:val="20"/>
          <w:szCs w:val="20"/>
        </w:rPr>
        <w:t xml:space="preserve"> </w:t>
      </w:r>
      <w:r w:rsidR="005963A8">
        <w:rPr>
          <w:rFonts w:ascii="Arial" w:hAnsi="Arial" w:cs="Arial"/>
          <w:b/>
          <w:bCs/>
          <w:sz w:val="20"/>
          <w:szCs w:val="20"/>
        </w:rPr>
        <w:t>R. Goldstein</w:t>
      </w:r>
      <w:proofErr w:type="gramStart"/>
      <w:r w:rsidR="005963A8">
        <w:rPr>
          <w:rFonts w:ascii="Arial" w:hAnsi="Arial" w:cs="Arial"/>
          <w:b/>
          <w:bCs/>
          <w:sz w:val="20"/>
          <w:szCs w:val="20"/>
        </w:rPr>
        <w:t>:</w:t>
      </w:r>
      <w:r w:rsidR="005963A8">
        <w:rPr>
          <w:rFonts w:ascii="Arial" w:hAnsi="Arial" w:cs="Arial"/>
          <w:sz w:val="20"/>
          <w:szCs w:val="20"/>
        </w:rPr>
        <w:t xml:space="preserve"> ;</w:t>
      </w:r>
      <w:proofErr w:type="gramEnd"/>
      <w:r w:rsidR="005963A8">
        <w:rPr>
          <w:rFonts w:ascii="Arial" w:hAnsi="Arial" w:cs="Arial"/>
          <w:sz w:val="20"/>
          <w:szCs w:val="20"/>
        </w:rPr>
        <w:t xml:space="preserve"> EU Framework Programme 7 (FP 7 grant). ; Breast Cancer Campaign. ; Experimental Cancer Medicine Cancer Network (ECMC). </w:t>
      </w:r>
      <w:r w:rsidR="005963A8">
        <w:rPr>
          <w:rFonts w:ascii="Arial" w:hAnsi="Arial" w:cs="Arial"/>
          <w:b/>
          <w:bCs/>
          <w:sz w:val="20"/>
          <w:szCs w:val="20"/>
        </w:rPr>
        <w:t>B. Tolner: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J. Leyton: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M. Livanos: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G. Bhavsar: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K. Vigor: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G. Nagy: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S. Mather: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A. Plückthun: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J. Sosabowski: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T. Meyer: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K. Chester:</w:t>
      </w:r>
      <w:r w:rsidR="005963A8">
        <w:rPr>
          <w:rFonts w:ascii="Arial" w:hAnsi="Arial" w:cs="Arial"/>
          <w:sz w:val="20"/>
          <w:szCs w:val="20"/>
        </w:rPr>
        <w:t xml:space="preserve"> None.</w:t>
      </w:r>
      <w:bookmarkStart w:id="0" w:name="_GoBack"/>
      <w:bookmarkEnd w:id="0"/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</w:p>
    <w:sectPr w:rsidR="00F03B24" w:rsidRPr="00A2680C" w:rsidSect="00E76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42BB1"/>
    <w:rsid w:val="003D0976"/>
    <w:rsid w:val="005963A8"/>
    <w:rsid w:val="00842BB1"/>
    <w:rsid w:val="00A2680C"/>
    <w:rsid w:val="00A50C75"/>
    <w:rsid w:val="00AE119B"/>
    <w:rsid w:val="00AF2AA7"/>
    <w:rsid w:val="00D40057"/>
    <w:rsid w:val="00D66029"/>
    <w:rsid w:val="00E76493"/>
    <w:rsid w:val="00F03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FBS AISC</Company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 Goldstein</dc:creator>
  <cp:lastModifiedBy>regmmyy</cp:lastModifiedBy>
  <cp:revision>2</cp:revision>
  <dcterms:created xsi:type="dcterms:W3CDTF">2013-02-27T12:44:00Z</dcterms:created>
  <dcterms:modified xsi:type="dcterms:W3CDTF">2013-02-27T12:44:00Z</dcterms:modified>
</cp:coreProperties>
</file>