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bda19fafb441caa159087bcd737638c5d56c05"/>
    <w:p>
      <w:pPr>
        <w:pStyle w:val="Heading1"/>
      </w:pPr>
      <w:r>
        <w:t xml:space="preserve">BPMN Generation Pipeline: From Evidence to Process Model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BPMN generation runs through an</w:t>
      </w:r>
      <w:r>
        <w:t xml:space="preserve"> </w:t>
      </w:r>
      <w:r>
        <w:rPr>
          <w:b/>
          <w:bCs/>
        </w:rPr>
        <w:t xml:space="preserve">8-step consensus algorithm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src/pov/generator.py</w:t>
      </w:r>
      <w:r>
        <w:t xml:space="preserve">). It works primarily from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(evidence items + fragments), NOT directly from Neo4j or pgvector. The knowledge graph and vector search serve parallel purposes (analytics, RAG copilot) but are decoupled from the BPMN generation pipeline.</w:t>
      </w:r>
    </w:p>
    <w:p>
      <w:r>
        <w:pict>
          <v:rect style="width:0;height:1.5pt" o:hralign="center" o:hrstd="t" o:hr="t"/>
        </w:pict>
      </w:r>
    </w:p>
    <w:bookmarkEnd w:id="9"/>
    <w:bookmarkStart w:id="20" w:name="the-full-pipeline"/>
    <w:p>
      <w:pPr>
        <w:pStyle w:val="Heading2"/>
      </w:pPr>
      <w:r>
        <w:t xml:space="preserve">The Full Pipeline</w:t>
      </w:r>
    </w:p>
    <w:bookmarkStart w:id="10" w:name="phase-1-evidence-ingestion-prerequisite"/>
    <w:p>
      <w:pPr>
        <w:pStyle w:val="Heading3"/>
      </w:pPr>
      <w:r>
        <w:t xml:space="preserve">Phase 1: Evidence Ingestion (Prerequisite)</w:t>
      </w:r>
    </w:p>
    <w:p>
      <w:pPr>
        <w:pStyle w:val="FirstParagraph"/>
      </w:pPr>
      <w:r>
        <w:t xml:space="preserve">When you upload mortgage lending documents — SOPs, process maps, interview transcripts, system exports, task mining logs — the evidence pipeline (</w:t>
      </w:r>
      <w:r>
        <w:rPr>
          <w:rStyle w:val="VerbatimChar"/>
        </w:rPr>
        <w:t xml:space="preserve">src/evidence/pipeline.py</w:t>
      </w:r>
      <w:r>
        <w:t xml:space="preserve">) classifies, parses, fragments, and stores them in PostgreSQL. Each fragment gets a quality score, reliability score, and freshness score. Embeddings are computed and stored via pgvector. The knowledge graph (Neo4j) is built in parallel — entities (activities, roles, systems) become nodes, relationships (FOLLOWED_BY, PERFORMED_BY, USES_SYSTEM) become edges.</w:t>
      </w:r>
    </w:p>
    <w:p>
      <w:pPr>
        <w:pStyle w:val="BodyText"/>
      </w:pPr>
      <w:r>
        <w:t xml:space="preserve">But none of that</w:t>
      </w:r>
      <w:r>
        <w:t xml:space="preserve"> </w:t>
      </w:r>
      <w:r>
        <w:rPr>
          <w:i/>
          <w:iCs/>
        </w:rPr>
        <w:t xml:space="preserve">directly</w:t>
      </w:r>
      <w:r>
        <w:t xml:space="preserve"> </w:t>
      </w:r>
      <w:r>
        <w:t xml:space="preserve">produces BPMN. It’s all preparation.</w:t>
      </w:r>
    </w:p>
    <w:bookmarkEnd w:id="10"/>
    <w:bookmarkStart w:id="19" w:name="phase-2-the-8-step-consensus-algorithm"/>
    <w:p>
      <w:pPr>
        <w:pStyle w:val="Heading3"/>
      </w:pPr>
      <w:r>
        <w:t xml:space="preserve">Phase 2: The 8-Step Consensus Algorithm</w:t>
      </w:r>
    </w:p>
    <w:p>
      <w:pPr>
        <w:pStyle w:val="FirstParagraph"/>
      </w:pPr>
      <w:r>
        <w:t xml:space="preserve">When you trigger</w:t>
      </w:r>
      <w:r>
        <w:t xml:space="preserve"> </w:t>
      </w:r>
      <w:r>
        <w:rPr>
          <w:rStyle w:val="VerbatimChar"/>
        </w:rPr>
        <w:t xml:space="preserve">POST /api/v1/pov/generate</w:t>
      </w:r>
      <w:r>
        <w:t xml:space="preserve">, here’s what happens:</w:t>
      </w:r>
    </w:p>
    <w:bookmarkStart w:id="11" w:name="step-1-evidence-aggregation"/>
    <w:p>
      <w:pPr>
        <w:pStyle w:val="Heading4"/>
      </w:pPr>
      <w:r>
        <w:t xml:space="preserve">Step 1 — Evidence Aggregation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src/pov/aggregation.py</w:t>
      </w:r>
    </w:p>
    <w:p>
      <w:pPr>
        <w:pStyle w:val="BodyText"/>
      </w:pPr>
      <w:r>
        <w:t xml:space="preserve">Queries PostgreSQL for all validated evidence items scoped to this engagement. Pulls fragments.</w:t>
      </w:r>
    </w:p>
    <w:bookmarkEnd w:id="11"/>
    <w:bookmarkStart w:id="12" w:name="step-2-entity-extraction"/>
    <w:p>
      <w:pPr>
        <w:pStyle w:val="Heading4"/>
      </w:pPr>
      <w:r>
        <w:t xml:space="preserve">Step 2 — Entity Extraction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src/pov/extraction.py</w:t>
      </w:r>
    </w:p>
    <w:p>
      <w:pPr>
        <w:pStyle w:val="BodyText"/>
      </w:pPr>
      <w:r>
        <w:t xml:space="preserve">Processes all fragments in async batches (semaphore of 10) to extract entities — activities, decisions, roles, systems, documents. Deduplicates near-duplicates via</w:t>
      </w:r>
      <w:r>
        <w:t xml:space="preserve"> </w:t>
      </w:r>
      <w:r>
        <w:rPr>
          <w:rStyle w:val="VerbatimChar"/>
        </w:rPr>
        <w:t xml:space="preserve">resolve_entities()</w:t>
      </w:r>
      <w:r>
        <w:t xml:space="preserve">.</w:t>
      </w:r>
    </w:p>
    <w:bookmarkEnd w:id="12"/>
    <w:bookmarkStart w:id="13" w:name="step-3-cross-source-triangulation"/>
    <w:p>
      <w:pPr>
        <w:pStyle w:val="Heading4"/>
      </w:pPr>
      <w:r>
        <w:t xml:space="preserve">Step 3 — Cross-Source Triangulation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src/pov/triangulation.py</w:t>
      </w:r>
    </w:p>
    <w:p>
      <w:pPr>
        <w:pStyle w:val="BodyText"/>
      </w:pPr>
      <w:r>
        <w:t xml:space="preserve">This is where multi-source corroboration kicks in. For each entity, it computes a triangulation score and classifies corroboration strength.</w:t>
      </w:r>
    </w:p>
    <w:p>
      <w:pPr>
        <w:pStyle w:val="BodyText"/>
      </w:pPr>
      <w:r>
        <w:rPr>
          <w:b/>
          <w:bCs/>
        </w:rPr>
        <w:t xml:space="preserve">Base Score</w:t>
      </w:r>
      <w:r>
        <w:t xml:space="preserve">:</w:t>
      </w:r>
      <w:r>
        <w:t xml:space="preserve"> </w:t>
      </w:r>
      <w:r>
        <w:rPr>
          <w:rStyle w:val="VerbatimChar"/>
        </w:rPr>
        <w:t xml:space="preserve">source_count / total_sources</w:t>
      </w:r>
      <w:r>
        <w:t xml:space="preserve"> </w:t>
      </w:r>
      <w:r>
        <w:t xml:space="preserve">— the raw ratio of how many evidence sources mention this entity.</w:t>
      </w:r>
    </w:p>
    <w:p>
      <w:pPr>
        <w:pStyle w:val="BodyText"/>
      </w:pPr>
      <w:r>
        <w:rPr>
          <w:b/>
          <w:bCs/>
        </w:rPr>
        <w:t xml:space="preserve">Multi-Source Bonus</w:t>
      </w:r>
      <w:r>
        <w:t xml:space="preserve"> </w:t>
      </w:r>
      <w:r>
        <w:t xml:space="preserve">(applied to the triangulation score): Rewards breadth of corroboration beyond the raw ratio: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Sources Mentioning Entity</w:t>
            </w:r>
          </w:p>
        </w:tc>
        <w:tc>
          <w:tcPr/>
          <w:p>
            <w:pPr>
              <w:pStyle w:val="Compact"/>
            </w:pPr>
            <w:r>
              <w:t xml:space="preserve">Bonus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or more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+0.00</w:t>
            </w:r>
          </w:p>
        </w:tc>
      </w:tr>
    </w:tbl>
    <w:p>
      <w:pPr>
        <w:pStyle w:val="BodyText"/>
      </w:pPr>
      <w:r>
        <w:t xml:space="preserve">For example, if an entity appears in 3 out of 10 sources, the base score is 0.30, but with the multi-source bonus it becomes 0.45.</w:t>
      </w:r>
    </w:p>
    <w:p>
      <w:pPr>
        <w:pStyle w:val="BodyText"/>
      </w:pPr>
      <w:r>
        <w:rPr>
          <w:b/>
          <w:bCs/>
        </w:rPr>
        <w:t xml:space="preserve">Cross-Plane Bonus</w:t>
      </w:r>
      <w:r>
        <w:t xml:space="preserve"> </w:t>
      </w:r>
      <w:r>
        <w:t xml:space="preserve">(applied to the evidence agreement factor): If corroboration spans</w:t>
      </w:r>
      <w:r>
        <w:t xml:space="preserve"> </w:t>
      </w:r>
      <w:r>
        <w:rPr>
          <w:b/>
          <w:bCs/>
        </w:rPr>
        <w:t xml:space="preserve">2 or more evidence planes</w:t>
      </w:r>
      <w:r>
        <w:t xml:space="preserve">, an additional</w:t>
      </w:r>
      <w:r>
        <w:t xml:space="preserve"> </w:t>
      </w:r>
      <w:r>
        <w:rPr>
          <w:b/>
          <w:bCs/>
        </w:rPr>
        <w:t xml:space="preserve">+0.15</w:t>
      </w:r>
      <w:r>
        <w:t xml:space="preserve"> </w:t>
      </w:r>
      <w:r>
        <w:t xml:space="preserve">is added to the agreement score. The four evidence planes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System/Behavioral</w:t>
      </w:r>
      <w:r>
        <w:t xml:space="preserve"> </w:t>
      </w:r>
      <w:r>
        <w:t xml:space="preserve">— system logs, task mining data, structured exports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Documented/Formal</w:t>
      </w:r>
      <w:r>
        <w:t xml:space="preserve"> </w:t>
      </w:r>
      <w:r>
        <w:t xml:space="preserve">— SOPs, policies, BPM models, process documentation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Observed/Field</w:t>
      </w:r>
      <w:r>
        <w:t xml:space="preserve"> </w:t>
      </w:r>
      <w:r>
        <w:t xml:space="preserve">— field observations, workshop notes, walkthroughs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 Interpretation</w:t>
      </w:r>
      <w:r>
        <w:t xml:space="preserve"> </w:t>
      </w:r>
      <w:r>
        <w:t xml:space="preserve">— interviews, surveys, SME input</w:t>
      </w:r>
    </w:p>
    <w:p>
      <w:pPr>
        <w:pStyle w:val="FirstParagraph"/>
      </w:pPr>
      <w:r>
        <w:t xml:space="preserve">The rationale: an activity confirmed by both a system log (System/Behavioral) and an SOP (Documented/Formal) is stronger than one confirmed by two documents from the same plane. Different</w:t>
      </w:r>
      <w:r>
        <w:t xml:space="preserve"> </w:t>
      </w:r>
      <w:r>
        <w:rPr>
          <w:i/>
          <w:iCs/>
        </w:rPr>
        <w:t xml:space="preserve">types</w:t>
      </w:r>
      <w:r>
        <w:t xml:space="preserve"> </w:t>
      </w:r>
      <w:r>
        <w:t xml:space="preserve">of evidence agreeing is worth more than the same type agreeing multiple times. The bonuses reward</w:t>
      </w:r>
      <w:r>
        <w:t xml:space="preserve"> </w:t>
      </w:r>
      <w:r>
        <w:rPr>
          <w:b/>
          <w:bCs/>
        </w:rPr>
        <w:t xml:space="preserve">diversity of evidence</w:t>
      </w:r>
      <w:r>
        <w:t xml:space="preserve">, not just volume.</w:t>
      </w:r>
    </w:p>
    <w:p>
      <w:pPr>
        <w:pStyle w:val="BodyText"/>
      </w:pPr>
      <w:r>
        <w:rPr>
          <w:b/>
          <w:bCs/>
        </w:rPr>
        <w:t xml:space="preserve">Corroboration Classification</w:t>
      </w:r>
      <w:r>
        <w:t xml:space="preserve">: Based on the final triangulation score, each entity is tagged as STRONGLY, MODERATELY, or WEAKLY corroborated.</w:t>
      </w:r>
    </w:p>
    <w:p>
      <w:pPr>
        <w:pStyle w:val="BodyText"/>
      </w:pPr>
      <w:r>
        <w:t xml:space="preserve">So if</w:t>
      </w:r>
      <w:r>
        <w:t xml:space="preserve"> </w:t>
      </w:r>
      <w:r>
        <w:t xml:space="preserve">“Verify Income”</w:t>
      </w:r>
      <w:r>
        <w:t xml:space="preserve"> </w:t>
      </w:r>
      <w:r>
        <w:t xml:space="preserve">appears in the SOP (Documented/Formal), the task mining logs (System/Behavioral), AND an interview transcript (Human Interpretation), it gets the multi-source bonus (+0.15 for 3+ sources), the cross-plane bonus (+0.15 for spanning 3 planes), and is tagged STRONGLY corroborated.</w:t>
      </w:r>
    </w:p>
    <w:bookmarkEnd w:id="13"/>
    <w:bookmarkStart w:id="14" w:name="X8d60c2373e0ad782ebf4cfacea1e54338b44fe4"/>
    <w:p>
      <w:pPr>
        <w:pStyle w:val="Heading4"/>
      </w:pPr>
      <w:r>
        <w:t xml:space="preserve">Step 4 — Consensus Building (Weighted Voting)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src/pov/consensus.py</w:t>
      </w:r>
    </w:p>
    <w:p>
      <w:pPr>
        <w:pStyle w:val="BodyText"/>
      </w:pPr>
      <w:r>
        <w:t xml:space="preserve">Weighted voting by evidence type authority: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Type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  <w:r>
              <w:t xml:space="preserve"> </w:t>
            </w:r>
            <w:r>
              <w:t xml:space="preserve">(highest)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mining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 models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Interviews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</w:tbl>
    <w:p>
      <w:pPr>
        <w:pStyle w:val="BodyText"/>
      </w:pPr>
      <w:r>
        <w:t xml:space="preserve">This produces a</w:t>
      </w:r>
      <w:r>
        <w:t xml:space="preserve"> </w:t>
      </w:r>
      <w:r>
        <w:rPr>
          <w:rStyle w:val="VerbatimChar"/>
        </w:rPr>
        <w:t xml:space="preserve">weighted_vote_score</w:t>
      </w:r>
      <w:r>
        <w:t xml:space="preserve"> </w:t>
      </w:r>
      <w:r>
        <w:t xml:space="preserve">for each entity. It also detects</w:t>
      </w:r>
      <w:r>
        <w:t xml:space="preserve"> </w:t>
      </w:r>
      <w:r>
        <w:rPr>
          <w:b/>
          <w:bCs/>
        </w:rPr>
        <w:t xml:space="preserve">variants</w:t>
      </w:r>
      <w:r>
        <w:t xml:space="preserve"> </w:t>
      </w:r>
      <w:r>
        <w:t xml:space="preserve">— divergent process paths where evidence disagrees on the sequence.</w:t>
      </w:r>
    </w:p>
    <w:bookmarkEnd w:id="14"/>
    <w:bookmarkStart w:id="15" w:name="step-5-contradiction-resolution"/>
    <w:p>
      <w:pPr>
        <w:pStyle w:val="Heading4"/>
      </w:pPr>
      <w:r>
        <w:t xml:space="preserve">Step 5 — Contradiction Resolution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src/pov/contradiction.py</w:t>
      </w:r>
    </w:p>
    <w:p>
      <w:pPr>
        <w:pStyle w:val="BodyText"/>
      </w:pPr>
      <w:r>
        <w:t xml:space="preserve">When evidence actively conflicts (e.g., one SOP says</w:t>
      </w:r>
      <w:r>
        <w:t xml:space="preserve"> </w:t>
      </w:r>
      <w:r>
        <w:t xml:space="preserve">“manager approves”</w:t>
      </w:r>
      <w:r>
        <w:t xml:space="preserve"> </w:t>
      </w:r>
      <w:r>
        <w:t xml:space="preserve">and another says</w:t>
      </w:r>
      <w:r>
        <w:t xml:space="preserve"> </w:t>
      </w:r>
      <w:r>
        <w:t xml:space="preserve">“system auto-approves”</w:t>
      </w:r>
      <w:r>
        <w:t xml:space="preserve">), conflict stubs are resolved using weighted evidence authority. The winner becomes the consensus view; the conflict is logged with resolution rationale.</w:t>
      </w:r>
    </w:p>
    <w:bookmarkEnd w:id="15"/>
    <w:bookmarkStart w:id="16" w:name="step-6-confidence-scoring"/>
    <w:p>
      <w:pPr>
        <w:pStyle w:val="Heading4"/>
      </w:pPr>
      <w:r>
        <w:t xml:space="preserve">Step 6 — Confidence Scoring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src/pov/scoring.py</w:t>
      </w:r>
    </w:p>
    <w:p>
      <w:pPr>
        <w:pStyle w:val="BodyText"/>
      </w:pPr>
      <w:r>
        <w:t xml:space="preserve">Each element gets a composite score from 5 weighted factors: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How many sources mention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Do sources agree on its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Quality scores of contributing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Reliability of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Freshness bias</w:t>
            </w:r>
          </w:p>
        </w:tc>
      </w:tr>
    </w:tbl>
    <w:p>
      <w:pPr>
        <w:pStyle w:val="BodyText"/>
      </w:pPr>
      <w:r>
        <w:t xml:space="preserve">Classified as: VERY_HIGH (≥0.90), HIGH (≥0.75), MEDIUM (≥0.50), LOW (≥0.25), VERY_LOW (&lt;0.25).</w:t>
      </w:r>
    </w:p>
    <w:bookmarkEnd w:id="16"/>
    <w:bookmarkStart w:id="17" w:name="step-7-bpmn-assembly"/>
    <w:p>
      <w:pPr>
        <w:pStyle w:val="Heading4"/>
      </w:pPr>
      <w:r>
        <w:t xml:space="preserve">Step 7 — BPMN Assembly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src/pov/assembly.py</w:t>
      </w:r>
    </w:p>
    <w:p>
      <w:pPr>
        <w:pStyle w:val="BodyText"/>
      </w:pPr>
      <w:r>
        <w:rPr>
          <w:b/>
          <w:bCs/>
        </w:rPr>
        <w:t xml:space="preserve">This is where the XML is actually generated.</w:t>
      </w:r>
      <w:r>
        <w:t xml:space="preserve"> </w:t>
      </w:r>
      <w:r>
        <w:t xml:space="preserve">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Filters &amp; sorts</w:t>
      </w:r>
      <w:r>
        <w:t xml:space="preserve"> </w:t>
      </w:r>
      <w:r>
        <w:t xml:space="preserve">to ACTIVITY + DECISION entities only, sorted by confidence descending (highest-confidence activities come first in the flow)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Creates BPMN elements</w:t>
      </w:r>
      <w:r>
        <w:t xml:space="preserve">: activities →</w:t>
      </w:r>
      <w:r>
        <w:t xml:space="preserve"> </w:t>
      </w:r>
      <w:r>
        <w:rPr>
          <w:rStyle w:val="VerbatimChar"/>
        </w:rPr>
        <w:t xml:space="preserve">&lt;bpmn:task&gt;</w:t>
      </w:r>
      <w:r>
        <w:t xml:space="preserve">, decisions →</w:t>
      </w:r>
      <w:r>
        <w:t xml:space="preserve"> </w:t>
      </w:r>
      <w:r>
        <w:rPr>
          <w:rStyle w:val="VerbatimChar"/>
        </w:rPr>
        <w:t xml:space="preserve">&lt;bpmn:exclusiveGateway&gt;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Adds three-dimensional confidence</w:t>
      </w:r>
      <w:r>
        <w:t xml:space="preserve"> </w:t>
      </w:r>
      <w:r>
        <w:t xml:space="preserve">to each element via</w:t>
      </w:r>
      <w:r>
        <w:t xml:space="preserve"> </w:t>
      </w:r>
      <w:r>
        <w:rPr>
          <w:rStyle w:val="VerbatimChar"/>
        </w:rPr>
        <w:t xml:space="preserve">kmflow:*</w:t>
      </w:r>
      <w:r>
        <w:t xml:space="preserve"> </w:t>
      </w:r>
      <w:r>
        <w:t xml:space="preserve">extensions: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Score</w:t>
      </w:r>
      <w:r>
        <w:t xml:space="preserve">: 0.0–1.0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Brightness</w:t>
      </w:r>
      <w:r>
        <w:t xml:space="preserve">: BRIGHT (≥0.75) / DIM (≥0.40) / DARK (&lt;0.40)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Evidence Grade</w:t>
      </w:r>
      <w:r>
        <w:t xml:space="preserve">: A through U (based on multi-plane corroboration)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Adds evidence citations</w:t>
      </w:r>
      <w:r>
        <w:t xml:space="preserve"> </w:t>
      </w:r>
      <w:r>
        <w:t xml:space="preserve">(source count + evidence IDs)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Flags DARK elements</w:t>
      </w:r>
      <w:r>
        <w:t xml:space="preserve"> </w:t>
      </w:r>
      <w:r>
        <w:t xml:space="preserve">(score &lt; 0.40) with gap markers — process steps we think exist but don’t have strong evidence for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Adds variant annotations</w:t>
      </w:r>
      <w:r>
        <w:t xml:space="preserve"> </w:t>
      </w:r>
      <w:r>
        <w:t xml:space="preserve">for multi-path evidence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Connects everything</w:t>
      </w:r>
      <w:r>
        <w:t xml:space="preserve">: Start → Task1 → Task2 → … → End, with condition expressions on gateway flows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Adds data stores</w:t>
      </w:r>
      <w:r>
        <w:t xml:space="preserve"> </w:t>
      </w:r>
      <w:r>
        <w:t xml:space="preserve">(SYSTEM entities) and</w:t>
      </w:r>
      <w:r>
        <w:t xml:space="preserve"> </w:t>
      </w:r>
      <w:r>
        <w:rPr>
          <w:b/>
          <w:bCs/>
        </w:rPr>
        <w:t xml:space="preserve">data objects</w:t>
      </w:r>
      <w:r>
        <w:t xml:space="preserve"> </w:t>
      </w:r>
      <w:r>
        <w:t xml:space="preserve">(DOCUMENT entities)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Lays out automatically</w:t>
      </w:r>
      <w:r>
        <w:t xml:space="preserve"> </w:t>
      </w:r>
      <w:r>
        <w:t xml:space="preserve">using KMFlow standards (100x80 tasks, 52px spacing, left-to-right)</w:t>
      </w:r>
    </w:p>
    <w:bookmarkEnd w:id="17"/>
    <w:bookmarkStart w:id="18" w:name="step-8-evidence-gap-detection"/>
    <w:p>
      <w:pPr>
        <w:pStyle w:val="Heading4"/>
      </w:pPr>
      <w:r>
        <w:t xml:space="preserve">Step 8 — Evidence Gap Detection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src/pov/gaps.py</w:t>
      </w:r>
    </w:p>
    <w:p>
      <w:pPr>
        <w:pStyle w:val="BodyText"/>
      </w:pPr>
      <w:r>
        <w:t xml:space="preserve">Identifies single-source gaps, weak evidence areas, and missing categories. These become recommendations for where to collect more evidence.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1" w:name="data-store-roles"/>
    <w:p>
      <w:pPr>
        <w:pStyle w:val="Heading2"/>
      </w:pPr>
      <w:r>
        <w:t xml:space="preserve">Data Store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Store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NOT 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Evidence items, fragments, the entire 8-step consensus pipeline, BPMN storage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Neo4j</w:t>
            </w:r>
          </w:p>
        </w:tc>
        <w:tc>
          <w:tcPr/>
          <w:p>
            <w:pPr>
              <w:pStyle w:val="Compact"/>
            </w:pPr>
            <w:r>
              <w:t xml:space="preserve">Visualization, conformance checking, TOM gap analysis, semantic exploration</w:t>
            </w:r>
          </w:p>
        </w:tc>
        <w:tc>
          <w:tcPr/>
          <w:p>
            <w:pPr>
              <w:pStyle w:val="Compact"/>
            </w:pPr>
            <w:r>
              <w:t xml:space="preserve">BPMN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RAG copilot search, activity↔evidence semantic matching (bridge layer)</w:t>
            </w:r>
          </w:p>
        </w:tc>
        <w:tc>
          <w:tcPr/>
          <w:p>
            <w:pPr>
              <w:pStyle w:val="Compact"/>
            </w:pPr>
            <w:r>
              <w:t xml:space="preserve">BPMN generation</w:t>
            </w:r>
          </w:p>
        </w:tc>
      </w:tr>
    </w:tbl>
    <w:p>
      <w:pPr>
        <w:pStyle w:val="BodyText"/>
      </w:pPr>
      <w:r>
        <w:t xml:space="preserve">This decoupling is intentional — the consensus algorithm can generate BPMN even if the knowledge graph is still being built. Neo4j and pgvector feed</w:t>
      </w:r>
      <w:r>
        <w:t xml:space="preserve"> </w:t>
      </w:r>
      <w:r>
        <w:rPr>
          <w:i/>
          <w:iCs/>
        </w:rPr>
        <w:t xml:space="preserve">downstream</w:t>
      </w:r>
      <w:r>
        <w:t xml:space="preserve"> </w:t>
      </w:r>
      <w:r>
        <w:t xml:space="preserve">analysis (TOM alignment, gap analysis, copilot Q&amp;A) rather than upstream generation.</w:t>
      </w:r>
    </w:p>
    <w:p>
      <w:r>
        <w:pict>
          <v:rect style="width:0;height:1.5pt" o:hralign="center" o:hrstd="t" o:hr="t"/>
        </w:pict>
      </w:r>
    </w:p>
    <w:bookmarkEnd w:id="21"/>
    <w:bookmarkStart w:id="22" w:name="what-comes-out"/>
    <w:p>
      <w:pPr>
        <w:pStyle w:val="Heading2"/>
      </w:pPr>
      <w:r>
        <w:t xml:space="preserve">What Comes Out</w:t>
      </w:r>
    </w:p>
    <w:p>
      <w:pPr>
        <w:pStyle w:val="FirstParagraph"/>
      </w:pPr>
      <w:r>
        <w:t xml:space="preserve">For the mortgage lending demo, the output is a BPMN 2.0 XML where: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BRIGHT activities</w:t>
      </w:r>
      <w:r>
        <w:t xml:space="preserve"> </w:t>
      </w:r>
      <w:r>
        <w:t xml:space="preserve">(like</w:t>
      </w:r>
      <w:r>
        <w:t xml:space="preserve"> </w:t>
      </w:r>
      <w:r>
        <w:t xml:space="preserve">“Verify Income”</w:t>
      </w:r>
      <w:r>
        <w:t xml:space="preserve">,</w:t>
      </w:r>
      <w:r>
        <w:t xml:space="preserve"> </w:t>
      </w:r>
      <w:r>
        <w:t xml:space="preserve">“Run Credit Check”</w:t>
      </w:r>
      <w:r>
        <w:t xml:space="preserve">) are well-corroborated across multiple evidence types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DIM activities</w:t>
      </w:r>
      <w:r>
        <w:t xml:space="preserve"> </w:t>
      </w:r>
      <w:r>
        <w:t xml:space="preserve">have moderate evidence — maybe only from documents and one interview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DARK activities</w:t>
      </w:r>
      <w:r>
        <w:t xml:space="preserve"> </w:t>
      </w:r>
      <w:r>
        <w:t xml:space="preserve">are suspected process steps with thin evidence — flagged for further investigation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Contradictions</w:t>
      </w:r>
      <w:r>
        <w:t xml:space="preserve"> </w:t>
      </w:r>
      <w:r>
        <w:t xml:space="preserve">are logged (e.g.,</w:t>
      </w:r>
      <w:r>
        <w:t xml:space="preserve"> </w:t>
      </w:r>
      <w:r>
        <w:t xml:space="preserve">“Manual underwriting”</w:t>
      </w:r>
      <w:r>
        <w:t xml:space="preserve"> </w:t>
      </w:r>
      <w:r>
        <w:t xml:space="preserve">vs</w:t>
      </w:r>
      <w:r>
        <w:t xml:space="preserve"> </w:t>
      </w:r>
      <w:r>
        <w:t xml:space="preserve">“Automated underwriting”</w:t>
      </w:r>
      <w:r>
        <w:t xml:space="preserve"> </w:t>
      </w:r>
      <w:r>
        <w:t xml:space="preserve">— resolved in favor of the higher-weight evidence source)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Gaps</w:t>
      </w:r>
      <w:r>
        <w:t xml:space="preserve"> </w:t>
      </w:r>
      <w:r>
        <w:t xml:space="preserve">tell you where to dig deeper (</w:t>
      </w:r>
      <w:r>
        <w:t xml:space="preserve">“No task mining data for the closing subprocess”</w:t>
      </w:r>
      <w:r>
        <w:t xml:space="preserve">)</w:t>
      </w:r>
    </w:p>
    <w:p>
      <w:pPr>
        <w:pStyle w:val="FirstParagraph"/>
      </w:pPr>
      <w:r>
        <w:t xml:space="preserve">The frontend visualizes this with confidence coloring, and the TOM alignment engine (</w:t>
      </w:r>
      <w:r>
        <w:rPr>
          <w:rStyle w:val="VerbatimChar"/>
        </w:rPr>
        <w:t xml:space="preserve">src/tom/alignment.py</w:t>
      </w:r>
      <w:r>
        <w:t xml:space="preserve">) then compares this as-is BPMN against target operating model specs to find maturity gaps.</w:t>
      </w:r>
    </w:p>
    <w:p>
      <w:r>
        <w:pict>
          <v:rect style="width:0;height:1.5pt" o:hralign="center" o:hrstd="t" o:hr="t"/>
        </w:pict>
      </w:r>
    </w:p>
    <w:bookmarkEnd w:id="22"/>
    <w:bookmarkStart w:id="24" w:name="api-endpoints"/>
    <w:p>
      <w:pPr>
        <w:pStyle w:val="Heading2"/>
      </w:pPr>
      <w:r>
        <w:t xml:space="preserve">API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/api/v1/pov/generate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Trigger async consensus algorithm (returns job_id)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/api/v1/pov/models/{engagement_id}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Retrieve all process models for 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/api/v1/pov/{model_id}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process model (includes BPMN XML)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/api/v1/pov/{model_id}/bpmn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BPMN XML only (Content-Type: application/xml)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/api/v1/pov/{model_id}/elements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process elements with confidence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/api/v1/pov/{model_id}/contradictions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detected contradictions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/api/v1/pov/{model_id}/gaps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evidence gaps</w:t>
            </w:r>
          </w:p>
        </w:tc>
      </w:tr>
    </w:tbl>
    <w:bookmarkStart w:id="23" w:name="generation-flow"/>
    <w:p>
      <w:pPr>
        <w:pStyle w:val="Heading3"/>
      </w:pPr>
      <w:r>
        <w:t xml:space="preserve">Generation Flow</w:t>
      </w:r>
    </w:p>
    <w:p>
      <w:pPr>
        <w:pStyle w:val="SourceCode"/>
      </w:pPr>
      <w:r>
        <w:rPr>
          <w:rStyle w:val="VerbatimChar"/>
        </w:rPr>
        <w:t xml:space="preserve">POST /api/v1/pov/generate {engagement_id, scope}</w:t>
      </w:r>
      <w:r>
        <w:br/>
      </w:r>
      <w:r>
        <w:rPr>
          <w:rStyle w:val="VerbatimChar"/>
        </w:rPr>
        <w:t xml:space="preserve">  → Enqueues job → runs generate_pov() → persists ProcessModel with bpmn_xml</w:t>
      </w:r>
      <w:r>
        <w:br/>
      </w:r>
      <w:r>
        <w:rPr>
          <w:rStyle w:val="VerbatimChar"/>
        </w:rPr>
        <w:t xml:space="preserve">  → Poll: GET /api/v1/tasks/{job_id}</w:t>
      </w:r>
      <w:r>
        <w:br/>
      </w:r>
      <w:r>
        <w:rPr>
          <w:rStyle w:val="VerbatimChar"/>
        </w:rPr>
        <w:t xml:space="preserve">  → Complete: GET /api/v1/pov/models/{engagement_id}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key-source-files"/>
    <w:p>
      <w:pPr>
        <w:pStyle w:val="Heading2"/>
      </w:pPr>
      <w:r>
        <w:t xml:space="preserve">Key Source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src/pov/generator.py</w:t>
            </w:r>
          </w:p>
        </w:tc>
        <w:tc>
          <w:tcPr/>
          <w:p>
            <w:pPr>
              <w:pStyle w:val="Compact"/>
            </w:pPr>
            <w:r>
              <w:t xml:space="preserve">Main orchestrator (8-step pipeline)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src/pov/aggregation.py</w:t>
            </w:r>
          </w:p>
        </w:tc>
        <w:tc>
          <w:tcPr/>
          <w:p>
            <w:pPr>
              <w:pStyle w:val="Compact"/>
            </w:pPr>
            <w:r>
              <w:t xml:space="preserve">Step 1: Evidence collection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src/pov/extraction.py</w:t>
            </w:r>
          </w:p>
        </w:tc>
        <w:tc>
          <w:tcPr/>
          <w:p>
            <w:pPr>
              <w:pStyle w:val="Compact"/>
            </w:pPr>
            <w:r>
              <w:t xml:space="preserve">Step 2: Entity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src/pov/triangulation.py</w:t>
            </w:r>
          </w:p>
        </w:tc>
        <w:tc>
          <w:tcPr/>
          <w:p>
            <w:pPr>
              <w:pStyle w:val="Compact"/>
            </w:pPr>
            <w:r>
              <w:t xml:space="preserve">Step 3: Cross-source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src/pov/consensus.py</w:t>
            </w:r>
          </w:p>
        </w:tc>
        <w:tc>
          <w:tcPr/>
          <w:p>
            <w:pPr>
              <w:pStyle w:val="Compact"/>
            </w:pPr>
            <w:r>
              <w:t xml:space="preserve">Step 4: Weighted voting consensus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src/pov/contradiction.py</w:t>
            </w:r>
          </w:p>
        </w:tc>
        <w:tc>
          <w:tcPr/>
          <w:p>
            <w:pPr>
              <w:pStyle w:val="Compact"/>
            </w:pPr>
            <w:r>
              <w:t xml:space="preserve">Step 5: Conflict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src/pov/scoring.py</w:t>
            </w:r>
          </w:p>
        </w:tc>
        <w:tc>
          <w:tcPr/>
          <w:p>
            <w:pPr>
              <w:pStyle w:val="Compact"/>
            </w:pPr>
            <w:r>
              <w:t xml:space="preserve">Step 6: Confidence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src/pov/assembly.py</w:t>
            </w:r>
          </w:p>
        </w:tc>
        <w:tc>
          <w:tcPr/>
          <w:p>
            <w:pPr>
              <w:pStyle w:val="Compact"/>
            </w:pPr>
            <w:r>
              <w:t xml:space="preserve">Step 7: BPMN XML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src/pov/gaps.py</w:t>
            </w:r>
          </w:p>
        </w:tc>
        <w:tc>
          <w:tcPr/>
          <w:p>
            <w:pPr>
              <w:pStyle w:val="Compact"/>
            </w:pPr>
            <w:r>
              <w:t xml:space="preserve">Step 8: Gap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src/pov/constants.py</w:t>
            </w:r>
          </w:p>
        </w:tc>
        <w:tc>
          <w:tcPr/>
          <w:p>
            <w:pPr>
              <w:pStyle w:val="Compact"/>
            </w:pPr>
            <w:r>
              <w:t xml:space="preserve">Weights, thresholds, evidence planes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src/pov/bpmn_generator.py</w:t>
            </w:r>
          </w:p>
        </w:tc>
        <w:tc>
          <w:tcPr/>
          <w:p>
            <w:pPr>
              <w:pStyle w:val="Compact"/>
            </w:pPr>
            <w:r>
              <w:t xml:space="preserve">Low-level BPMN XML utility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src/api/routes/pov.py</w:t>
            </w:r>
          </w:p>
        </w:tc>
        <w:tc>
          <w:tcPr/>
          <w:p>
            <w:pPr>
              <w:pStyle w:val="Compact"/>
            </w:pPr>
            <w:r>
              <w:t xml:space="preserve">API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src/semantic/graph.py</w:t>
            </w:r>
          </w:p>
        </w:tc>
        <w:tc>
          <w:tcPr/>
          <w:p>
            <w:pPr>
              <w:pStyle w:val="Compact"/>
            </w:pPr>
            <w:r>
              <w:t xml:space="preserve">Neo4j service (parallel, not for BPMN)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src/semantic/builder.py</w:t>
            </w:r>
          </w:p>
        </w:tc>
        <w:tc>
          <w:tcPr/>
          <w:p>
            <w:pPr>
              <w:pStyle w:val="Compact"/>
            </w:pPr>
            <w:r>
              <w:t xml:space="preserve">Knowledge graph construction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src/tom/alignment.py</w:t>
            </w:r>
          </w:p>
        </w:tc>
        <w:tc>
          <w:tcPr/>
          <w:p>
            <w:pPr>
              <w:pStyle w:val="Compact"/>
            </w:pPr>
            <w:r>
              <w:t xml:space="preserve">TOM gap analysis (post-BPMN)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src/rag/retrieval.py</w:t>
            </w:r>
          </w:p>
        </w:tc>
        <w:tc>
          <w:tcPr/>
          <w:p>
            <w:pPr>
              <w:pStyle w:val="Compact"/>
            </w:pPr>
            <w:r>
              <w:t xml:space="preserve">Vector search (RAG copilot)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2026-03-20T20:39:38Z</dcterms:created>
  <dcterms:modified xsi:type="dcterms:W3CDTF">2026-03-20T20:39:38Z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