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B5C"/>
          <w:sz w:val="32"/>
        </w:rPr>
        <w:t>MERIDIAN NATIONAL BANK</w:t>
      </w:r>
    </w:p>
    <w:p>
      <w:pPr>
        <w:jc w:val="center"/>
      </w:pPr>
      <w:r>
        <w:rPr>
          <w:color w:val="002B5C"/>
          <w:sz w:val="26"/>
        </w:rPr>
        <w:t>Information Technology — Change Management</w:t>
      </w:r>
    </w:p>
    <w:p/>
    <w:p>
      <w:pPr>
        <w:jc w:val="center"/>
      </w:pPr>
      <w:r>
        <w:rPr>
          <w:b/>
          <w:sz w:val="36"/>
        </w:rPr>
        <w:t>CHANGE REQUEST</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Change Request ID</w:t>
            </w:r>
          </w:p>
        </w:tc>
        <w:tc>
          <w:tcPr>
            <w:tcW w:type="dxa" w:w="4320"/>
          </w:tcPr>
          <w:p>
            <w:r>
              <w:t>CR-2025-0892</w:t>
            </w:r>
          </w:p>
        </w:tc>
      </w:tr>
      <w:tr>
        <w:tc>
          <w:tcPr>
            <w:tcW w:type="dxa" w:w="4320"/>
          </w:tcPr>
          <w:p>
            <w:r>
              <w:rPr>
                <w:b/>
              </w:rPr>
              <w:t>Related CR</w:t>
            </w:r>
          </w:p>
        </w:tc>
        <w:tc>
          <w:tcPr>
            <w:tcW w:type="dxa" w:w="4320"/>
          </w:tcPr>
          <w:p>
            <w:r>
              <w:t>CR-2025-0247 (Original WF-008 Disable)</w:t>
            </w:r>
          </w:p>
        </w:tc>
      </w:tr>
      <w:tr>
        <w:tc>
          <w:tcPr>
            <w:tcW w:type="dxa" w:w="4320"/>
          </w:tcPr>
          <w:p>
            <w:r>
              <w:rPr>
                <w:b/>
              </w:rPr>
              <w:t>Priority</w:t>
            </w:r>
          </w:p>
        </w:tc>
        <w:tc>
          <w:tcPr>
            <w:tcW w:type="dxa" w:w="4320"/>
          </w:tcPr>
          <w:p>
            <w:r>
              <w:t>HIGH</w:t>
            </w:r>
          </w:p>
        </w:tc>
      </w:tr>
      <w:tr>
        <w:tc>
          <w:tcPr>
            <w:tcW w:type="dxa" w:w="4320"/>
          </w:tcPr>
          <w:p>
            <w:r>
              <w:rPr>
                <w:b/>
              </w:rPr>
              <w:t>Category</w:t>
            </w:r>
          </w:p>
        </w:tc>
        <w:tc>
          <w:tcPr>
            <w:tcW w:type="dxa" w:w="4320"/>
          </w:tcPr>
          <w:p>
            <w:r>
              <w:t>Application Configuration — Encompass LOS</w:t>
            </w:r>
          </w:p>
        </w:tc>
      </w:tr>
      <w:tr>
        <w:tc>
          <w:tcPr>
            <w:tcW w:type="dxa" w:w="4320"/>
          </w:tcPr>
          <w:p>
            <w:r>
              <w:rPr>
                <w:b/>
              </w:rPr>
              <w:t>Requested By</w:t>
            </w:r>
          </w:p>
        </w:tc>
        <w:tc>
          <w:tcPr>
            <w:tcW w:type="dxa" w:w="4320"/>
          </w:tcPr>
          <w:p>
            <w:r>
              <w:t>Michael Torres, SVP Retail Lending</w:t>
            </w:r>
          </w:p>
        </w:tc>
      </w:tr>
      <w:tr>
        <w:tc>
          <w:tcPr>
            <w:tcW w:type="dxa" w:w="4320"/>
          </w:tcPr>
          <w:p>
            <w:r>
              <w:rPr>
                <w:b/>
              </w:rPr>
              <w:t>Date Submitted</w:t>
            </w:r>
          </w:p>
        </w:tc>
        <w:tc>
          <w:tcPr>
            <w:tcW w:type="dxa" w:w="4320"/>
          </w:tcPr>
          <w:p>
            <w:r>
              <w:t>September 30, 2025</w:t>
            </w:r>
          </w:p>
        </w:tc>
      </w:tr>
      <w:tr>
        <w:tc>
          <w:tcPr>
            <w:tcW w:type="dxa" w:w="4320"/>
          </w:tcPr>
          <w:p>
            <w:r>
              <w:rPr>
                <w:b/>
              </w:rPr>
              <w:t>Target Implementation</w:t>
            </w:r>
          </w:p>
        </w:tc>
        <w:tc>
          <w:tcPr>
            <w:tcW w:type="dxa" w:w="4320"/>
          </w:tcPr>
          <w:p>
            <w:r>
              <w:t>October 31, 2025</w:t>
            </w:r>
          </w:p>
        </w:tc>
      </w:tr>
      <w:tr>
        <w:tc>
          <w:tcPr>
            <w:tcW w:type="dxa" w:w="4320"/>
          </w:tcPr>
          <w:p>
            <w:r>
              <w:rPr>
                <w:b/>
              </w:rPr>
              <w:t>Environment</w:t>
            </w:r>
          </w:p>
        </w:tc>
        <w:tc>
          <w:tcPr>
            <w:tcW w:type="dxa" w:w="4320"/>
          </w:tcPr>
          <w:p>
            <w:r>
              <w:t>Production — Encompass LOS v25.1</w:t>
            </w:r>
          </w:p>
        </w:tc>
      </w:tr>
      <w:tr>
        <w:tc>
          <w:tcPr>
            <w:tcW w:type="dxa" w:w="4320"/>
          </w:tcPr>
          <w:p>
            <w:r>
              <w:rPr>
                <w:b/>
              </w:rPr>
              <w:t>Business Justification</w:t>
            </w:r>
          </w:p>
        </w:tc>
        <w:tc>
          <w:tcPr>
            <w:tcW w:type="dxa" w:w="4320"/>
          </w:tcPr>
          <w:p>
            <w:r>
              <w:t>Internal Audit Finding 2025-017-01</w:t>
            </w:r>
          </w:p>
        </w:tc>
      </w:tr>
      <w:tr>
        <w:tc>
          <w:tcPr>
            <w:tcW w:type="dxa" w:w="4320"/>
          </w:tcPr>
          <w:p>
            <w:r>
              <w:rPr>
                <w:b/>
              </w:rPr>
              <w:t>Impact Assessment</w:t>
            </w:r>
          </w:p>
        </w:tc>
        <w:tc>
          <w:tcPr>
            <w:tcW w:type="dxa" w:w="4320"/>
          </w:tcPr>
          <w:p>
            <w:r>
              <w:t>Medium — Workflow rule change; no schema modification</w:t>
            </w:r>
          </w:p>
        </w:tc>
      </w:tr>
      <w:tr>
        <w:tc>
          <w:tcPr>
            <w:tcW w:type="dxa" w:w="4320"/>
          </w:tcPr>
          <w:p>
            <w:r>
              <w:rPr>
                <w:b/>
              </w:rPr>
              <w:t>Rollback Plan</w:t>
            </w:r>
          </w:p>
        </w:tc>
        <w:tc>
          <w:tcPr>
            <w:tcW w:type="dxa" w:w="4320"/>
          </w:tcPr>
          <w:p>
            <w:r>
              <w:t>Disable WF-008 rule via Encompass Admin Console</w:t>
            </w:r>
          </w:p>
        </w:tc>
      </w:tr>
      <w:tr>
        <w:tc>
          <w:tcPr>
            <w:tcW w:type="dxa" w:w="4320"/>
          </w:tcPr>
          <w:p>
            <w:r>
              <w:rPr>
                <w:b/>
              </w:rPr>
              <w:t>Approval Status</w:t>
            </w:r>
          </w:p>
        </w:tc>
        <w:tc>
          <w:tcPr>
            <w:tcW w:type="dxa" w:w="4320"/>
          </w:tcPr>
          <w:p>
            <w:r>
              <w:t>PENDING CAB REVIEW</w:t>
            </w:r>
          </w:p>
        </w:tc>
      </w:tr>
    </w:tbl>
    <w:p/>
    <w:p>
      <w:pPr>
        <w:pStyle w:val="Heading1"/>
      </w:pPr>
      <w:r>
        <w:t>1. DESCRIPTION OF CHANGE</w:t>
      </w:r>
    </w:p>
    <w:p>
      <w:r>
        <w:t>This change request seeks to re-enable Encompass workflow rule WF-008 ("Stale Document Alert — 90-Day Re-Pull Notification") with modified trigger logic to address the system performance degradation that prompted its original deactivation under CR-2025-0247.</w:t>
      </w:r>
    </w:p>
    <w:p>
      <w:pPr>
        <w:pStyle w:val="Heading2"/>
      </w:pPr>
      <w:r>
        <w:t>1.1 Background</w:t>
      </w:r>
    </w:p>
    <w:p>
      <w:r>
        <w:t>WF-008 was originally implemented in October 2023 to automatically generate processor task alerts when borrower-submitted documents (pay stubs, bank statements, VOE letters) exceeded 90 days of age relative to the current underwriting review date. The rule was designed to ensure document currency in compliance with investor and agency guidelines requiring documentation to be no more than 120 days old at closing.</w:t>
      </w:r>
    </w:p>
    <w:p>
      <w:r>
        <w:t>On February 12, 2025, WF-008 was disabled under emergency change CR-2025-0247 due to significant Encompass system performance degradation. Investigation revealed that the original rule implementation performed a full-table scan of the document repository on every loan file access, causing response time increases of 40-60% during peak hours. The rule was disabled as a temporary measure pending optimization.</w:t>
      </w:r>
    </w:p>
    <w:p>
      <w:r>
        <w:t>As of September 2025, the rule has not been re-enabled. Internal Audit Finding 2025-017-01 has identified this as a control gap requiring prompt remediation.</w:t>
      </w:r>
    </w:p>
    <w:p>
      <w:pPr>
        <w:pStyle w:val="Heading2"/>
      </w:pPr>
      <w:r>
        <w:t>1.2 Proposed Changes</w:t>
      </w:r>
    </w:p>
    <w:p>
      <w:pPr>
        <w:pStyle w:val="ListBullet"/>
      </w:pPr>
      <w:r>
        <w:t>Re-enable WF-008 with a modified trigger mechanism using indexed date comparison instead of full-table scan</w:t>
      </w:r>
    </w:p>
    <w:p>
      <w:pPr>
        <w:pStyle w:val="ListBullet"/>
      </w:pPr>
      <w:r>
        <w:t>Change evaluation frequency from "on every loan access" to "nightly batch process at 2:00 AM ET"</w:t>
      </w:r>
    </w:p>
    <w:p>
      <w:pPr>
        <w:pStyle w:val="ListBullet"/>
      </w:pPr>
      <w:r>
        <w:t>Add document type filtering to limit evaluation to income, asset, and employment documents only</w:t>
      </w:r>
    </w:p>
    <w:p>
      <w:pPr>
        <w:pStyle w:val="ListBullet"/>
      </w:pPr>
      <w:r>
        <w:t>Implement a 7-day grace period after document upload before the 90-day clock starts</w:t>
      </w:r>
    </w:p>
    <w:p>
      <w:pPr>
        <w:pStyle w:val="ListBullet"/>
      </w:pPr>
      <w:r>
        <w:t>Add a "snooze" capability allowing processors to defer alerts by 14 days with mandatory note entry</w:t>
      </w:r>
    </w:p>
    <w:p>
      <w:pPr>
        <w:pStyle w:val="ListBullet"/>
      </w:pPr>
      <w:r>
        <w:t>Configure alert routing to the assigned processor and a CC to the processing supervisor</w:t>
      </w:r>
    </w:p>
    <w:p>
      <w:pPr>
        <w:pStyle w:val="Heading1"/>
      </w:pPr>
      <w:r>
        <w:t>2. TECHNICAL IMPLEMENTATION</w:t>
      </w:r>
    </w:p>
    <w:p>
      <w:r>
        <w:t>The Encompass Admin team will modify the WF-008 rule configuration in the Encompass Business Rules Engine. The key technical changes are:</w:t>
      </w:r>
    </w:p>
    <w:p>
      <w:pPr>
        <w:pStyle w:val="ListBullet"/>
      </w:pPr>
      <w:r>
        <w:t>Create a nightly SQL job to evaluate document dates against the 90-day threshold</w:t>
      </w:r>
    </w:p>
    <w:p>
      <w:pPr>
        <w:pStyle w:val="ListBullet"/>
      </w:pPr>
      <w:r>
        <w:t>Add an index on the document_upload_date column in the Encompass document repository</w:t>
      </w:r>
    </w:p>
    <w:p>
      <w:pPr>
        <w:pStyle w:val="ListBullet"/>
      </w:pPr>
      <w:r>
        <w:t>Modify the rule trigger from synchronous (on-access) to asynchronous (batch)</w:t>
      </w:r>
    </w:p>
    <w:p>
      <w:pPr>
        <w:pStyle w:val="ListBullet"/>
      </w:pPr>
      <w:r>
        <w:t>Update the alert template to include document type, age, and re-pull instructions</w:t>
      </w:r>
    </w:p>
    <w:p>
      <w:pPr>
        <w:pStyle w:val="ListBullet"/>
      </w:pPr>
      <w:r>
        <w:t>Add the snooze action to the processor task management interface</w:t>
      </w:r>
    </w:p>
    <w:p>
      <w:pPr>
        <w:pStyle w:val="ListBullet"/>
      </w:pPr>
      <w:r>
        <w:t>Configure supervisor notification for snoozed alerts exceeding 14 days</w:t>
      </w:r>
    </w:p>
    <w:p>
      <w:pPr>
        <w:pStyle w:val="Heading1"/>
      </w:pPr>
      <w:r>
        <w:t>3. TESTING PLAN</w:t>
      </w:r>
    </w:p>
    <w:p>
      <w:r>
        <w:t>Testing will be conducted in the Encompass UAT environment prior to production deployment: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Test Case</w:t>
            </w:r>
          </w:p>
        </w:tc>
        <w:tc>
          <w:tcPr>
            <w:tcW w:type="dxa" w:w="2160"/>
          </w:tcPr>
          <w:p>
            <w:r>
              <w:rPr>
                <w:b/>
              </w:rPr>
              <w:t>Description</w:t>
            </w:r>
          </w:p>
        </w:tc>
        <w:tc>
          <w:tcPr>
            <w:tcW w:type="dxa" w:w="2160"/>
          </w:tcPr>
          <w:p>
            <w:r>
              <w:rPr>
                <w:b/>
              </w:rPr>
              <w:t>Expected Result</w:t>
            </w:r>
          </w:p>
        </w:tc>
        <w:tc>
          <w:tcPr>
            <w:tcW w:type="dxa" w:w="2160"/>
          </w:tcPr>
          <w:p>
            <w:r>
              <w:rPr>
                <w:b/>
              </w:rPr>
              <w:t>Status</w:t>
            </w:r>
          </w:p>
        </w:tc>
      </w:tr>
      <w:tr>
        <w:tc>
          <w:tcPr>
            <w:tcW w:type="dxa" w:w="2160"/>
          </w:tcPr>
          <w:p>
            <w:r>
              <w:t>TC-01</w:t>
            </w:r>
          </w:p>
        </w:tc>
        <w:tc>
          <w:tcPr>
            <w:tcW w:type="dxa" w:w="2160"/>
          </w:tcPr>
          <w:p>
            <w:r>
              <w:t>Document aged &gt;90 days triggers alert</w:t>
            </w:r>
          </w:p>
        </w:tc>
        <w:tc>
          <w:tcPr>
            <w:tcW w:type="dxa" w:w="2160"/>
          </w:tcPr>
          <w:p>
            <w:r>
              <w:t>Alert generated in nightly batch</w:t>
            </w:r>
          </w:p>
        </w:tc>
        <w:tc>
          <w:tcPr>
            <w:tcW w:type="dxa" w:w="2160"/>
          </w:tcPr>
          <w:p>
            <w:r>
              <w:t>Planned</w:t>
            </w:r>
          </w:p>
        </w:tc>
      </w:tr>
      <w:tr>
        <w:tc>
          <w:tcPr>
            <w:tcW w:type="dxa" w:w="2160"/>
          </w:tcPr>
          <w:p>
            <w:r>
              <w:t>TC-02</w:t>
            </w:r>
          </w:p>
        </w:tc>
        <w:tc>
          <w:tcPr>
            <w:tcW w:type="dxa" w:w="2160"/>
          </w:tcPr>
          <w:p>
            <w:r>
              <w:t>Document aged &lt;90 days — no alert</w:t>
            </w:r>
          </w:p>
        </w:tc>
        <w:tc>
          <w:tcPr>
            <w:tcW w:type="dxa" w:w="2160"/>
          </w:tcPr>
          <w:p>
            <w:r>
              <w:t>No alert generated</w:t>
            </w:r>
          </w:p>
        </w:tc>
        <w:tc>
          <w:tcPr>
            <w:tcW w:type="dxa" w:w="2160"/>
          </w:tcPr>
          <w:p>
            <w:r>
              <w:t>Planned</w:t>
            </w:r>
          </w:p>
        </w:tc>
      </w:tr>
      <w:tr>
        <w:tc>
          <w:tcPr>
            <w:tcW w:type="dxa" w:w="2160"/>
          </w:tcPr>
          <w:p>
            <w:r>
              <w:t>TC-03</w:t>
            </w:r>
          </w:p>
        </w:tc>
        <w:tc>
          <w:tcPr>
            <w:tcW w:type="dxa" w:w="2160"/>
          </w:tcPr>
          <w:p>
            <w:r>
              <w:t>Processor snooze functionality</w:t>
            </w:r>
          </w:p>
        </w:tc>
        <w:tc>
          <w:tcPr>
            <w:tcW w:type="dxa" w:w="2160"/>
          </w:tcPr>
          <w:p>
            <w:r>
              <w:t>Alert deferred 14 days with note</w:t>
            </w:r>
          </w:p>
        </w:tc>
        <w:tc>
          <w:tcPr>
            <w:tcW w:type="dxa" w:w="2160"/>
          </w:tcPr>
          <w:p>
            <w:r>
              <w:t>Planned</w:t>
            </w:r>
          </w:p>
        </w:tc>
      </w:tr>
      <w:tr>
        <w:tc>
          <w:tcPr>
            <w:tcW w:type="dxa" w:w="2160"/>
          </w:tcPr>
          <w:p>
            <w:r>
              <w:t>TC-04</w:t>
            </w:r>
          </w:p>
        </w:tc>
        <w:tc>
          <w:tcPr>
            <w:tcW w:type="dxa" w:w="2160"/>
          </w:tcPr>
          <w:p>
            <w:r>
              <w:t>Supervisor notification on snoozed items</w:t>
            </w:r>
          </w:p>
        </w:tc>
        <w:tc>
          <w:tcPr>
            <w:tcW w:type="dxa" w:w="2160"/>
          </w:tcPr>
          <w:p>
            <w:r>
              <w:t>CC sent after 14-day snooze</w:t>
            </w:r>
          </w:p>
        </w:tc>
        <w:tc>
          <w:tcPr>
            <w:tcW w:type="dxa" w:w="2160"/>
          </w:tcPr>
          <w:p>
            <w:r>
              <w:t>Planned</w:t>
            </w:r>
          </w:p>
        </w:tc>
      </w:tr>
      <w:tr>
        <w:tc>
          <w:tcPr>
            <w:tcW w:type="dxa" w:w="2160"/>
          </w:tcPr>
          <w:p>
            <w:r>
              <w:t>TC-05</w:t>
            </w:r>
          </w:p>
        </w:tc>
        <w:tc>
          <w:tcPr>
            <w:tcW w:type="dxa" w:w="2160"/>
          </w:tcPr>
          <w:p>
            <w:r>
              <w:t>Performance benchmark — batch execution</w:t>
            </w:r>
          </w:p>
        </w:tc>
        <w:tc>
          <w:tcPr>
            <w:tcW w:type="dxa" w:w="2160"/>
          </w:tcPr>
          <w:p>
            <w:r>
              <w:t>Complete within 30-minute window</w:t>
            </w:r>
          </w:p>
        </w:tc>
        <w:tc>
          <w:tcPr>
            <w:tcW w:type="dxa" w:w="2160"/>
          </w:tcPr>
          <w:p>
            <w:r>
              <w:t>Planned</w:t>
            </w:r>
          </w:p>
        </w:tc>
      </w:tr>
    </w:tbl>
    <w:p>
      <w:pPr>
        <w:pStyle w:val="Heading1"/>
      </w:pPr>
      <w:r>
        <w:t>4.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Decision</w:t>
            </w:r>
          </w:p>
        </w:tc>
        <w:tc>
          <w:tcPr>
            <w:tcW w:type="dxa" w:w="2160"/>
          </w:tcPr>
          <w:p>
            <w:r>
              <w:rPr>
                <w:b/>
              </w:rPr>
              <w:t>Date</w:t>
            </w:r>
          </w:p>
        </w:tc>
      </w:tr>
      <w:tr>
        <w:tc>
          <w:tcPr>
            <w:tcW w:type="dxa" w:w="2160"/>
          </w:tcPr>
          <w:p>
            <w:r>
              <w:t>Business Owner</w:t>
            </w:r>
          </w:p>
        </w:tc>
        <w:tc>
          <w:tcPr>
            <w:tcW w:type="dxa" w:w="2160"/>
          </w:tcPr>
          <w:p>
            <w:r>
              <w:t>Michael Torres, SVP Retail Lending</w:t>
            </w:r>
          </w:p>
        </w:tc>
        <w:tc>
          <w:tcPr>
            <w:tcW w:type="dxa" w:w="2160"/>
          </w:tcPr>
          <w:p>
            <w:r>
              <w:t>APPROVED</w:t>
            </w:r>
          </w:p>
        </w:tc>
        <w:tc>
          <w:tcPr>
            <w:tcW w:type="dxa" w:w="2160"/>
          </w:tcPr>
          <w:p>
            <w:r>
              <w:t>09/30/2025</w:t>
            </w:r>
          </w:p>
        </w:tc>
      </w:tr>
      <w:tr>
        <w:tc>
          <w:tcPr>
            <w:tcW w:type="dxa" w:w="2160"/>
          </w:tcPr>
          <w:p>
            <w:r>
              <w:t>IT Manager</w:t>
            </w:r>
          </w:p>
        </w:tc>
        <w:tc>
          <w:tcPr>
            <w:tcW w:type="dxa" w:w="2160"/>
          </w:tcPr>
          <w:p>
            <w:r>
              <w:t>Kevin Park, Director IT Applications</w:t>
            </w:r>
          </w:p>
        </w:tc>
        <w:tc>
          <w:tcPr>
            <w:tcW w:type="dxa" w:w="2160"/>
          </w:tcPr>
          <w:p>
            <w:r>
              <w:t>APPROVED</w:t>
            </w:r>
          </w:p>
        </w:tc>
        <w:tc>
          <w:tcPr>
            <w:tcW w:type="dxa" w:w="2160"/>
          </w:tcPr>
          <w:p>
            <w:r>
              <w:t>10/01/2025</w:t>
            </w:r>
          </w:p>
        </w:tc>
      </w:tr>
      <w:tr>
        <w:tc>
          <w:tcPr>
            <w:tcW w:type="dxa" w:w="2160"/>
          </w:tcPr>
          <w:p>
            <w:r>
              <w:t>Encompass Admin</w:t>
            </w:r>
          </w:p>
        </w:tc>
        <w:tc>
          <w:tcPr>
            <w:tcW w:type="dxa" w:w="2160"/>
          </w:tcPr>
          <w:p>
            <w:r>
              <w:t>Sarah Lin, Encompass System Admin</w:t>
            </w:r>
          </w:p>
        </w:tc>
        <w:tc>
          <w:tcPr>
            <w:tcW w:type="dxa" w:w="2160"/>
          </w:tcPr>
          <w:p>
            <w:r>
              <w:t>APPROVED</w:t>
            </w:r>
          </w:p>
        </w:tc>
        <w:tc>
          <w:tcPr>
            <w:tcW w:type="dxa" w:w="2160"/>
          </w:tcPr>
          <w:p>
            <w:r>
              <w:t>10/01/2025</w:t>
            </w:r>
          </w:p>
        </w:tc>
      </w:tr>
      <w:tr>
        <w:tc>
          <w:tcPr>
            <w:tcW w:type="dxa" w:w="2160"/>
          </w:tcPr>
          <w:p>
            <w:r>
              <w:t>Information Security</w:t>
            </w:r>
          </w:p>
        </w:tc>
        <w:tc>
          <w:tcPr>
            <w:tcW w:type="dxa" w:w="2160"/>
          </w:tcPr>
          <w:p>
            <w:r>
              <w:t>James Crawford, CISO</w:t>
            </w:r>
          </w:p>
        </w:tc>
        <w:tc>
          <w:tcPr>
            <w:tcW w:type="dxa" w:w="2160"/>
          </w:tcPr>
          <w:p>
            <w:r>
              <w:t>PENDING</w:t>
            </w:r>
          </w:p>
        </w:tc>
        <w:tc>
          <w:tcPr>
            <w:tcW w:type="dxa" w:w="2160"/>
          </w:tcPr>
          <w:p>
            <w:r>
              <w:t>—</w:t>
            </w:r>
          </w:p>
        </w:tc>
      </w:tr>
      <w:tr>
        <w:tc>
          <w:tcPr>
            <w:tcW w:type="dxa" w:w="2160"/>
          </w:tcPr>
          <w:p>
            <w:r>
              <w:t>Change Advisory Board</w:t>
            </w:r>
          </w:p>
        </w:tc>
        <w:tc>
          <w:tcPr>
            <w:tcW w:type="dxa" w:w="2160"/>
          </w:tcPr>
          <w:p>
            <w:r>
              <w:t>CAB Committee</w:t>
            </w:r>
          </w:p>
        </w:tc>
        <w:tc>
          <w:tcPr>
            <w:tcW w:type="dxa" w:w="2160"/>
          </w:tcPr>
          <w:p>
            <w:r>
              <w:t>PENDING</w:t>
            </w:r>
          </w:p>
        </w:tc>
        <w:tc>
          <w:tcPr>
            <w:tcW w:type="dxa" w:w="2160"/>
          </w:tcPr>
          <w:p>
            <w:r>
              <w:t>—</w:t>
            </w:r>
          </w:p>
        </w:tc>
      </w:tr>
    </w:tbl>
    <w:p/>
    <w:p>
      <w:pPr>
        <w:pStyle w:val="Heading1"/>
      </w:pPr>
      <w:r>
        <w:t>5. IMPLEMENTATION TIMELINE</w:t>
      </w:r>
    </w:p>
    <w:p>
      <w:pPr>
        <w:pStyle w:val="ListBullet"/>
      </w:pPr>
      <w:r>
        <w:t>Week 1 (Oct 6-10): UAT environment configuration and index creation</w:t>
      </w:r>
    </w:p>
    <w:p>
      <w:pPr>
        <w:pStyle w:val="ListBullet"/>
      </w:pPr>
      <w:r>
        <w:t>Week 2 (Oct 13-17): Functional testing (TC-01 through TC-04)</w:t>
      </w:r>
    </w:p>
    <w:p>
      <w:pPr>
        <w:pStyle w:val="ListBullet"/>
      </w:pPr>
      <w:r>
        <w:t>Week 3 (Oct 20-24): Performance testing (TC-05) and user acceptance</w:t>
      </w:r>
    </w:p>
    <w:p>
      <w:pPr>
        <w:pStyle w:val="ListBullet"/>
      </w:pPr>
      <w:r>
        <w:t>Week 4 (Oct 27-31): Production deployment during maintenance window (Saturday 10/25, 2:00-6:00 AM)</w:t>
      </w:r>
    </w:p>
    <w:p>
      <w:pPr>
        <w:pStyle w:val="ListBullet"/>
      </w:pPr>
      <w:r>
        <w:t>Week 5 (Nov 3-7): Post-deployment monitoring and hypercare support</w:t>
      </w:r>
    </w:p>
    <w:p/>
    <w:p>
      <w:pPr>
        <w:jc w:val="center"/>
      </w:pPr>
      <w:r>
        <w:rPr>
          <w:i/>
        </w:rPr>
        <w:t>— End of Change Request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