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36"/>
        </w:rPr>
        <w:t>MERIDIAN NATIONAL BANK</w:t>
      </w:r>
    </w:p>
    <w:p>
      <w:pPr>
        <w:jc w:val="center"/>
      </w:pPr>
      <w:r>
        <w:rPr>
          <w:color w:val="002B5C"/>
          <w:sz w:val="28"/>
        </w:rPr>
        <w:t>Internal Audit Department</w:t>
      </w:r>
    </w:p>
    <w:p/>
    <w:p>
      <w:pPr>
        <w:jc w:val="center"/>
      </w:pPr>
      <w:r>
        <w:rPr>
          <w:b/>
          <w:sz w:val="32"/>
        </w:rPr>
        <w:t>INTERNAL AUDIT REPORT</w:t>
      </w:r>
    </w:p>
    <w:p>
      <w:pPr>
        <w:jc w:val="center"/>
      </w:pPr>
      <w:r>
        <w:rPr>
          <w:sz w:val="28"/>
        </w:rPr>
        <w:t>Mortgage Origination Controls Assessment</w:t>
        <w:br/>
        <w:t>Fiscal Year 2025</w:t>
      </w:r>
    </w:p>
    <w:p/>
    <w:p>
      <w:pPr>
        <w:jc w:val="center"/>
      </w:pPr>
      <w:r>
        <w:rPr>
          <w:b/>
          <w:color w:val="CC3333"/>
          <w:sz w:val="24"/>
        </w:rPr>
        <w:t>CONFIDENTIAL — FOR INTERNAL USE ONLY</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Report Number</w:t>
            </w:r>
          </w:p>
        </w:tc>
        <w:tc>
          <w:tcPr>
            <w:tcW w:type="dxa" w:w="4320"/>
          </w:tcPr>
          <w:p>
            <w:r>
              <w:t>IA-2025-017</w:t>
            </w:r>
          </w:p>
        </w:tc>
      </w:tr>
      <w:tr>
        <w:tc>
          <w:tcPr>
            <w:tcW w:type="dxa" w:w="4320"/>
          </w:tcPr>
          <w:p>
            <w:r>
              <w:rPr>
                <w:b/>
              </w:rPr>
              <w:t>Audit Period</w:t>
            </w:r>
          </w:p>
        </w:tc>
        <w:tc>
          <w:tcPr>
            <w:tcW w:type="dxa" w:w="4320"/>
          </w:tcPr>
          <w:p>
            <w:r>
              <w:t>July 1, 2024 – June 30, 2025</w:t>
            </w:r>
          </w:p>
        </w:tc>
      </w:tr>
      <w:tr>
        <w:tc>
          <w:tcPr>
            <w:tcW w:type="dxa" w:w="4320"/>
          </w:tcPr>
          <w:p>
            <w:r>
              <w:rPr>
                <w:b/>
              </w:rPr>
              <w:t>Report Date</w:t>
            </w:r>
          </w:p>
        </w:tc>
        <w:tc>
          <w:tcPr>
            <w:tcW w:type="dxa" w:w="4320"/>
          </w:tcPr>
          <w:p>
            <w:r>
              <w:t>September 28, 2025</w:t>
            </w:r>
          </w:p>
        </w:tc>
      </w:tr>
      <w:tr>
        <w:tc>
          <w:tcPr>
            <w:tcW w:type="dxa" w:w="4320"/>
          </w:tcPr>
          <w:p>
            <w:r>
              <w:rPr>
                <w:b/>
              </w:rPr>
              <w:t>Distribution</w:t>
            </w:r>
          </w:p>
        </w:tc>
        <w:tc>
          <w:tcPr>
            <w:tcW w:type="dxa" w:w="4320"/>
          </w:tcPr>
          <w:p>
            <w:r>
              <w:t>Board Audit Committee, CEO, CFO, CLO, CCO</w:t>
            </w:r>
          </w:p>
        </w:tc>
      </w:tr>
      <w:tr>
        <w:tc>
          <w:tcPr>
            <w:tcW w:type="dxa" w:w="4320"/>
          </w:tcPr>
          <w:p>
            <w:r>
              <w:rPr>
                <w:b/>
              </w:rPr>
              <w:t>Lead Auditor</w:t>
            </w:r>
          </w:p>
        </w:tc>
        <w:tc>
          <w:tcPr>
            <w:tcW w:type="dxa" w:w="4320"/>
          </w:tcPr>
          <w:p>
            <w:r>
              <w:t>Patricia Hawkins, CIA, CISA</w:t>
            </w:r>
          </w:p>
        </w:tc>
      </w:tr>
      <w:tr>
        <w:tc>
          <w:tcPr>
            <w:tcW w:type="dxa" w:w="4320"/>
          </w:tcPr>
          <w:p>
            <w:r>
              <w:rPr>
                <w:b/>
              </w:rPr>
              <w:t>Audit Team</w:t>
            </w:r>
          </w:p>
        </w:tc>
        <w:tc>
          <w:tcPr>
            <w:tcW w:type="dxa" w:w="4320"/>
          </w:tcPr>
          <w:p>
            <w:r>
              <w:t>R. Nakamura (Senior), T. Okafor (Staff), M. Petrov (Staff)</w:t>
            </w:r>
          </w:p>
        </w:tc>
      </w:tr>
      <w:tr>
        <w:tc>
          <w:tcPr>
            <w:tcW w:type="dxa" w:w="4320"/>
          </w:tcPr>
          <w:p>
            <w:r>
              <w:rPr>
                <w:b/>
              </w:rPr>
              <w:t>Business Owner</w:t>
            </w:r>
          </w:p>
        </w:tc>
        <w:tc>
          <w:tcPr>
            <w:tcW w:type="dxa" w:w="4320"/>
          </w:tcPr>
          <w:p>
            <w:r>
              <w:t>Michael Torres, SVP Retail Lending</w:t>
            </w:r>
          </w:p>
        </w:tc>
      </w:tr>
      <w:tr>
        <w:tc>
          <w:tcPr>
            <w:tcW w:type="dxa" w:w="4320"/>
          </w:tcPr>
          <w:p>
            <w:r>
              <w:rPr>
                <w:b/>
              </w:rPr>
              <w:t>Overall Rating</w:t>
            </w:r>
          </w:p>
        </w:tc>
        <w:tc>
          <w:tcPr>
            <w:tcW w:type="dxa" w:w="4320"/>
          </w:tcPr>
          <w:p>
            <w:r>
              <w:t>NEEDS IMPROVEMENT</w:t>
            </w:r>
          </w:p>
        </w:tc>
      </w:tr>
    </w:tbl>
    <w:p>
      <w:r>
        <w:br w:type="page"/>
      </w:r>
    </w:p>
    <w:p>
      <w:pPr>
        <w:pStyle w:val="Heading1"/>
      </w:pPr>
      <w:r>
        <w:t>1. EXECUTIVE SUMMARY</w:t>
      </w:r>
    </w:p>
    <w:p>
      <w:r>
        <w:t>Internal Audit conducted a comprehensive assessment of controls governing the residential mortgage loan origination process at Meridian National Bank. The audit covered the period from July 1, 2024 through June 30, 2025 and evaluated the design and operating effectiveness of key controls across the origination lifecycle, from application intake through funding and post-close quality review.</w:t>
      </w:r>
    </w:p>
    <w:p>
      <w:r>
        <w:t>The overall rating for this audit is NEEDS IMPROVEMENT. While the origination process demonstrates generally sound design with appropriate segregation of duties and regulatory compliance frameworks, we identified control gaps in automated monitoring, document management practices, and management reporting that require timely remediation.</w:t>
      </w:r>
    </w:p>
    <w:p>
      <w:r>
        <w:t>We issued three findings: two rated "Needs Improvement" and one rated "Satisfactory with Recommendations." Management has provided responses and remediation commitments for all findings.</w:t>
      </w:r>
    </w:p>
    <w:p>
      <w:pPr>
        <w:pStyle w:val="Heading1"/>
      </w:pPr>
      <w:r>
        <w:t>2. SCOPE AND OBJECTIVES</w:t>
      </w:r>
    </w:p>
    <w:p>
      <w:pPr>
        <w:pStyle w:val="Heading2"/>
      </w:pPr>
      <w:r>
        <w:t>2.1 Scope</w:t>
      </w:r>
    </w:p>
    <w:p>
      <w:r>
        <w:t>The audit encompassed the following areas of the residential mortgage origination process:</w:t>
      </w:r>
    </w:p>
    <w:p>
      <w:pPr>
        <w:pStyle w:val="ListBullet"/>
      </w:pPr>
      <w:r>
        <w:t>Application intake and disclosure delivery (TRID compliance)</w:t>
      </w:r>
    </w:p>
    <w:p>
      <w:pPr>
        <w:pStyle w:val="ListBullet"/>
      </w:pPr>
      <w:r>
        <w:t>Document collection, verification, and tracking procedures</w:t>
      </w:r>
    </w:p>
    <w:p>
      <w:pPr>
        <w:pStyle w:val="ListBullet"/>
      </w:pPr>
      <w:r>
        <w:t>Underwriting decision-making and exception/override controls</w:t>
      </w:r>
    </w:p>
    <w:p>
      <w:pPr>
        <w:pStyle w:val="ListBullet"/>
      </w:pPr>
      <w:r>
        <w:t>Rate lock management and pipeline monitoring</w:t>
      </w:r>
    </w:p>
    <w:p>
      <w:pPr>
        <w:pStyle w:val="ListBullet"/>
      </w:pPr>
      <w:r>
        <w:t>Closing and funding procedures</w:t>
      </w:r>
    </w:p>
    <w:p>
      <w:pPr>
        <w:pStyle w:val="ListBullet"/>
      </w:pPr>
      <w:r>
        <w:t>Post-close quality control review process</w:t>
      </w:r>
    </w:p>
    <w:p>
      <w:pPr>
        <w:pStyle w:val="ListBullet"/>
      </w:pPr>
      <w:r>
        <w:t>Encompass LOS system configuration and workflow automation</w:t>
      </w:r>
    </w:p>
    <w:p>
      <w:pPr>
        <w:pStyle w:val="ListBullet"/>
      </w:pPr>
      <w:r>
        <w:t>Regulatory compliance monitoring (TRID, ECOA, HMDA, BSA/AML)</w:t>
      </w:r>
    </w:p>
    <w:p>
      <w:pPr>
        <w:pStyle w:val="Heading2"/>
      </w:pPr>
      <w:r>
        <w:t>2.2 Objectives</w:t>
      </w:r>
    </w:p>
    <w:p>
      <w:pPr>
        <w:pStyle w:val="ListBullet"/>
      </w:pPr>
      <w:r>
        <w:t>Evaluate the design and operating effectiveness of key origination controls</w:t>
      </w:r>
    </w:p>
    <w:p>
      <w:pPr>
        <w:pStyle w:val="ListBullet"/>
      </w:pPr>
      <w:r>
        <w:t>Assess compliance with applicable regulatory requirements</w:t>
      </w:r>
    </w:p>
    <w:p>
      <w:pPr>
        <w:pStyle w:val="ListBullet"/>
      </w:pPr>
      <w:r>
        <w:t>Review the adequacy of management oversight and reporting</w:t>
      </w:r>
    </w:p>
    <w:p>
      <w:pPr>
        <w:pStyle w:val="ListBullet"/>
      </w:pPr>
      <w:r>
        <w:t>Identify opportunities for process improvement and risk mitigation</w:t>
      </w:r>
    </w:p>
    <w:p>
      <w:r>
        <w:br w:type="page"/>
      </w:r>
    </w:p>
    <w:p>
      <w:pPr>
        <w:pStyle w:val="Heading1"/>
      </w:pPr>
      <w:r>
        <w:t>3. DETAILED FINDINGS</w:t>
      </w:r>
    </w:p>
    <w:p>
      <w:pPr>
        <w:pStyle w:val="Heading2"/>
      </w:pPr>
      <w:r>
        <w:t>Finding 2025-017-01: Disabled Automated Document Monitoring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color w:val="CC6600"/>
              </w:rPr>
              <w:t>NEEDS IMPROVEMENT</w:t>
            </w:r>
          </w:p>
        </w:tc>
      </w:tr>
      <w:tr>
        <w:tc>
          <w:tcPr>
            <w:tcW w:type="dxa" w:w="4320"/>
          </w:tcPr>
          <w:p>
            <w:r>
              <w:rPr>
                <w:b/>
              </w:rPr>
              <w:t>Risk</w:t>
            </w:r>
          </w:p>
        </w:tc>
        <w:tc>
          <w:tcPr>
            <w:tcW w:type="dxa" w:w="4320"/>
          </w:tcPr>
          <w:p>
            <w:r>
              <w:t>High — Compliance &amp; Operational</w:t>
            </w:r>
          </w:p>
        </w:tc>
      </w:tr>
    </w:tbl>
    <w:p/>
    <w:p>
      <w:pPr>
        <w:pStyle w:val="Heading3"/>
      </w:pPr>
      <w:r>
        <w:t>Observation:</w:t>
      </w:r>
    </w:p>
    <w:p>
      <w:r>
        <w:t>Encompass workflow rule WF-008 ("Stale Document Alert — 90-Day Re-Pull Notification") was disabled on February 12, 2025, as part of IT change request CR-2025-0247 to address a system performance issue. As of the audit date (September 2025), the rule has not been re-enabled, and no compensating automated control has been implemented.</w:t>
      </w:r>
    </w:p>
    <w:p>
      <w:r>
        <w:t>The WF-008 rule was designed to automatically flag loan files containing borrower documents (pay stubs, bank statements, employment verification) older than 90 days, triggering a processor task to request updated documentation. Without this automated alert, the Bank relies on manual tracking by individual processors to identify stale documents.</w:t>
      </w:r>
    </w:p>
    <w:p>
      <w:pPr>
        <w:pStyle w:val="Heading3"/>
      </w:pPr>
      <w:r>
        <w:t>Impact:</w:t>
      </w:r>
    </w:p>
    <w:p>
      <w:r>
        <w:t>Audit testing of 50 sampled loan files originated between March and August 2025 revealed that 8 files (16%) contained at least one document exceeding the 90-day freshness threshold at the time of underwriting decision. Of these, 3 files had income documentation older than 120 days. This creates regulatory risk under investor and agency requirements for document currency, and could result in loan repurchase demands or investor penalties.</w:t>
      </w:r>
    </w:p>
    <w:p>
      <w:pPr>
        <w:pStyle w:val="Heading3"/>
      </w:pPr>
      <w:r>
        <w:t>Root Cause:</w:t>
      </w:r>
    </w:p>
    <w:p>
      <w:r>
        <w:t>The IT change request (CR-2025-0247) to disable WF-008 was approved as a temporary measure to resolve Encompass system performance degradation. However, no follow-up timeline or tracking mechanism was established to ensure the rule was re-enabled once the performance issue was resolved. The change request was closed as "Completed" on February 14, 2025, without a reopening trigger.</w:t>
      </w:r>
    </w:p>
    <w:p>
      <w:pPr>
        <w:pStyle w:val="Heading3"/>
      </w:pPr>
      <w:r>
        <w:t>Recommendation:</w:t>
      </w:r>
    </w:p>
    <w:p>
      <w:pPr>
        <w:pStyle w:val="ListBullet"/>
      </w:pPr>
      <w:r>
        <w:t>Re-enable WF-008 with performance-optimized configuration within 30 days</w:t>
      </w:r>
    </w:p>
    <w:p>
      <w:pPr>
        <w:pStyle w:val="ListBullet"/>
      </w:pPr>
      <w:r>
        <w:t>Implement a change management protocol requiring follow-up actions for temporarily disabled controls</w:t>
      </w:r>
    </w:p>
    <w:p>
      <w:pPr>
        <w:pStyle w:val="ListBullet"/>
      </w:pPr>
      <w:r>
        <w:t>Conduct a retrospective review of all loans originated since February 2025 for stale document exposure</w:t>
      </w:r>
    </w:p>
    <w:p>
      <w:pPr>
        <w:pStyle w:val="ListBullet"/>
      </w:pPr>
      <w:r>
        <w:t>Establish a quarterly control configuration review to verify critical workflow rules remain active</w:t>
      </w:r>
    </w:p>
    <w:p>
      <w:pPr>
        <w:pStyle w:val="Heading3"/>
      </w:pPr>
      <w:r>
        <w:t>Management Response:</w:t>
      </w:r>
    </w:p>
    <w:p>
      <w:r>
        <w:t>Management concurs with the finding. IT change request CR-2025-0892 has been submitted to re-enable WF-008 with modified trigger logic to address the original performance concern. Target completion: October 31, 2025. A retrospective file review will be completed by November 15, 2025. The VP of Mortgage Lending will implement a monthly control configuration attestation process effective Q4 2025.</w:t>
      </w:r>
    </w:p>
    <w:p/>
    <w:p>
      <w:pPr>
        <w:pStyle w:val="Heading2"/>
      </w:pPr>
      <w:r>
        <w:t>Finding 2025-017-02: Informal Document Tracking Outside Auditable Systems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color w:val="CC6600"/>
              </w:rPr>
              <w:t>NEEDS IMPROVEMENT</w:t>
            </w:r>
          </w:p>
        </w:tc>
      </w:tr>
      <w:tr>
        <w:tc>
          <w:tcPr>
            <w:tcW w:type="dxa" w:w="4320"/>
          </w:tcPr>
          <w:p>
            <w:r>
              <w:rPr>
                <w:b/>
              </w:rPr>
              <w:t>Risk</w:t>
            </w:r>
          </w:p>
        </w:tc>
        <w:tc>
          <w:tcPr>
            <w:tcW w:type="dxa" w:w="4320"/>
          </w:tcPr>
          <w:p>
            <w:r>
              <w:t>Medium — Operational &amp; Data Integrity</w:t>
            </w:r>
          </w:p>
        </w:tc>
      </w:tr>
    </w:tbl>
    <w:p/>
    <w:p>
      <w:pPr>
        <w:pStyle w:val="Heading3"/>
      </w:pPr>
      <w:r>
        <w:t>Observation:</w:t>
      </w:r>
    </w:p>
    <w:p>
      <w:r>
        <w:t>Audit interviews and desktop observation revealed that approximately 60% of loan processors maintain personal spreadsheets ("shadow trackers") to track document status, condition clearing progress, and borrower follow-up activities outside of the Encompass LOS. These shadow tracking tools emerged as a compensating practice after the disabling of WF-008 automated alerts but have become entrenched in daily workflows.</w:t>
      </w:r>
    </w:p>
    <w:p>
      <w:pPr>
        <w:pStyle w:val="Heading3"/>
      </w:pPr>
      <w:r>
        <w:t>Impact:</w:t>
      </w:r>
    </w:p>
    <w:p>
      <w:r>
        <w:t>Shadow tracking outside auditable systems creates data integrity risk, as the official system of record (Encompass) may not reflect the actual document status known to the processor. It also introduces key-person dependency, as tracking data is lost if a processor is unavailable. Task mining analysis (see EV-034) indicates processors spend approximately 14.2% of their working time on shadow tracking activities, representing a significant operational efficiency loss.</w:t>
      </w:r>
    </w:p>
    <w:p>
      <w:pPr>
        <w:pStyle w:val="Heading3"/>
      </w:pPr>
      <w:r>
        <w:t>Recommendation:</w:t>
      </w:r>
    </w:p>
    <w:p>
      <w:pPr>
        <w:pStyle w:val="ListBullet"/>
      </w:pPr>
      <w:r>
        <w:t>Eliminate the need for shadow tracking by restoring automated Encompass monitoring (linked to Finding 01)</w:t>
      </w:r>
    </w:p>
    <w:p>
      <w:pPr>
        <w:pStyle w:val="ListBullet"/>
      </w:pPr>
      <w:r>
        <w:t>Enhance Encompass task management to provide processors with a consolidated view of outstanding items</w:t>
      </w:r>
    </w:p>
    <w:p>
      <w:pPr>
        <w:pStyle w:val="ListBullet"/>
      </w:pPr>
      <w:r>
        <w:t>Prohibit the use of informal tracking tools for loan-level document management through updated policy</w:t>
      </w:r>
    </w:p>
    <w:p>
      <w:pPr>
        <w:pStyle w:val="ListBullet"/>
      </w:pPr>
      <w:r>
        <w:t>Provide targeted Encompass training to ensure all processors can effectively use built-in tracking features</w:t>
      </w:r>
    </w:p>
    <w:p>
      <w:pPr>
        <w:pStyle w:val="Heading3"/>
      </w:pPr>
      <w:r>
        <w:t>Management Response:</w:t>
      </w:r>
    </w:p>
    <w:p>
      <w:r>
        <w:t>Management concurs. The Encompass dashboard enhancement project (in UAT as of audit date) will provide a processor-level task management view that consolidates document status, aging alerts, and condition tracking. Target go-live: November 2025. The Loan Processing Manager will issue a policy memo prohibiting shadow tracking once the enhanced dashboard is available and processors have been trained.</w:t>
      </w:r>
    </w:p>
    <w:p/>
    <w:p>
      <w:pPr>
        <w:pStyle w:val="Heading2"/>
      </w:pPr>
      <w:r>
        <w:t>Finding 2025-017-03: Pipeline Reporting Gaps — Consumer Direct Channel</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color w:val="339966"/>
              </w:rPr>
              <w:t>SATISFACTORY WITH RECOMMENDATIONS</w:t>
            </w:r>
          </w:p>
        </w:tc>
      </w:tr>
      <w:tr>
        <w:tc>
          <w:tcPr>
            <w:tcW w:type="dxa" w:w="4320"/>
          </w:tcPr>
          <w:p>
            <w:r>
              <w:rPr>
                <w:b/>
              </w:rPr>
              <w:t>Risk</w:t>
            </w:r>
          </w:p>
        </w:tc>
        <w:tc>
          <w:tcPr>
            <w:tcW w:type="dxa" w:w="4320"/>
          </w:tcPr>
          <w:p>
            <w:r>
              <w:t>Low — Management Reporting</w:t>
            </w:r>
          </w:p>
        </w:tc>
      </w:tr>
    </w:tbl>
    <w:p/>
    <w:p>
      <w:pPr>
        <w:pStyle w:val="Heading3"/>
      </w:pPr>
      <w:r>
        <w:t>Observation:</w:t>
      </w:r>
    </w:p>
    <w:p>
      <w:r>
        <w:t>The standard loan officer pipeline report generated from Encompass does not include a filter or segmentation for the consumer direct origination channel. Consumer direct loans (approximately 24% of Q3 2025 volume) are commingled with branch originations in pipeline views, making it difficult for management to separately monitor channel-specific performance, aging, and pull-through metrics.</w:t>
      </w:r>
    </w:p>
    <w:p>
      <w:pPr>
        <w:pStyle w:val="Heading3"/>
      </w:pPr>
      <w:r>
        <w:t>Recommendation:</w:t>
      </w:r>
    </w:p>
    <w:p>
      <w:r>
        <w:t>Update the Encompass pipeline reporting configuration to include channel segmentation. This enhancement is already included in the planned dashboard update (target: November 2025).</w:t>
      </w:r>
    </w:p>
    <w:p>
      <w:pPr>
        <w:pStyle w:val="Heading3"/>
      </w:pPr>
      <w:r>
        <w:t>Management Response:</w:t>
      </w:r>
    </w:p>
    <w:p>
      <w:r>
        <w:t>Management concurs. Channel segmentation will be included in the Encompass dashboard enhancement currently in UAT. No additional action required beyond the existing project timeline.</w:t>
      </w:r>
    </w:p>
    <w:p>
      <w:r>
        <w:br w:type="page"/>
      </w:r>
    </w:p>
    <w:p>
      <w:pPr>
        <w:pStyle w:val="Heading1"/>
      </w:pPr>
      <w:r>
        <w:t>4. SUMMARY OF FINDINGS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Finding #</w:t>
            </w:r>
          </w:p>
        </w:tc>
        <w:tc>
          <w:tcPr>
            <w:tcW w:type="dxa" w:w="1728"/>
          </w:tcPr>
          <w:p>
            <w:r>
              <w:rPr>
                <w:b/>
              </w:rPr>
              <w:t>Title</w:t>
            </w:r>
          </w:p>
        </w:tc>
        <w:tc>
          <w:tcPr>
            <w:tcW w:type="dxa" w:w="1728"/>
          </w:tcPr>
          <w:p>
            <w:r>
              <w:rPr>
                <w:b/>
              </w:rPr>
              <w:t>Rating</w:t>
            </w:r>
          </w:p>
        </w:tc>
        <w:tc>
          <w:tcPr>
            <w:tcW w:type="dxa" w:w="1728"/>
          </w:tcPr>
          <w:p>
            <w:r>
              <w:rPr>
                <w:b/>
              </w:rPr>
              <w:t>Risk</w:t>
            </w:r>
          </w:p>
        </w:tc>
        <w:tc>
          <w:tcPr>
            <w:tcW w:type="dxa" w:w="1728"/>
          </w:tcPr>
          <w:p>
            <w:r>
              <w:rPr>
                <w:b/>
              </w:rPr>
              <w:t>Target Date</w:t>
            </w:r>
          </w:p>
        </w:tc>
      </w:tr>
      <w:tr>
        <w:tc>
          <w:tcPr>
            <w:tcW w:type="dxa" w:w="1728"/>
          </w:tcPr>
          <w:p>
            <w:r>
              <w:t>2025-017-01</w:t>
            </w:r>
          </w:p>
        </w:tc>
        <w:tc>
          <w:tcPr>
            <w:tcW w:type="dxa" w:w="1728"/>
          </w:tcPr>
          <w:p>
            <w:r>
              <w:t>Disabled Automated Document Monitoring</w:t>
            </w:r>
          </w:p>
        </w:tc>
        <w:tc>
          <w:tcPr>
            <w:tcW w:type="dxa" w:w="1728"/>
          </w:tcPr>
          <w:p>
            <w:r>
              <w:t>Needs Improvement</w:t>
            </w:r>
          </w:p>
        </w:tc>
        <w:tc>
          <w:tcPr>
            <w:tcW w:type="dxa" w:w="1728"/>
          </w:tcPr>
          <w:p>
            <w:r>
              <w:t>High</w:t>
            </w:r>
          </w:p>
        </w:tc>
        <w:tc>
          <w:tcPr>
            <w:tcW w:type="dxa" w:w="1728"/>
          </w:tcPr>
          <w:p>
            <w:r>
              <w:t>10/31/2025</w:t>
            </w:r>
          </w:p>
        </w:tc>
      </w:tr>
      <w:tr>
        <w:tc>
          <w:tcPr>
            <w:tcW w:type="dxa" w:w="1728"/>
          </w:tcPr>
          <w:p>
            <w:r>
              <w:t>2025-017-02</w:t>
            </w:r>
          </w:p>
        </w:tc>
        <w:tc>
          <w:tcPr>
            <w:tcW w:type="dxa" w:w="1728"/>
          </w:tcPr>
          <w:p>
            <w:r>
              <w:t>Informal Document Tracking Outside Auditable Systems</w:t>
            </w:r>
          </w:p>
        </w:tc>
        <w:tc>
          <w:tcPr>
            <w:tcW w:type="dxa" w:w="1728"/>
          </w:tcPr>
          <w:p>
            <w:r>
              <w:t>Needs Improvement</w:t>
            </w:r>
          </w:p>
        </w:tc>
        <w:tc>
          <w:tcPr>
            <w:tcW w:type="dxa" w:w="1728"/>
          </w:tcPr>
          <w:p>
            <w:r>
              <w:t>Medium</w:t>
            </w:r>
          </w:p>
        </w:tc>
        <w:tc>
          <w:tcPr>
            <w:tcW w:type="dxa" w:w="1728"/>
          </w:tcPr>
          <w:p>
            <w:r>
              <w:t>11/30/2025</w:t>
            </w:r>
          </w:p>
        </w:tc>
      </w:tr>
      <w:tr>
        <w:tc>
          <w:tcPr>
            <w:tcW w:type="dxa" w:w="1728"/>
          </w:tcPr>
          <w:p>
            <w:r>
              <w:t>2025-017-03</w:t>
            </w:r>
          </w:p>
        </w:tc>
        <w:tc>
          <w:tcPr>
            <w:tcW w:type="dxa" w:w="1728"/>
          </w:tcPr>
          <w:p>
            <w:r>
              <w:t>Pipeline Reporting Gaps — Consumer Direct Channel</w:t>
            </w:r>
          </w:p>
        </w:tc>
        <w:tc>
          <w:tcPr>
            <w:tcW w:type="dxa" w:w="1728"/>
          </w:tcPr>
          <w:p>
            <w:r>
              <w:t>Satisfactory w/ Recs</w:t>
            </w:r>
          </w:p>
        </w:tc>
        <w:tc>
          <w:tcPr>
            <w:tcW w:type="dxa" w:w="1728"/>
          </w:tcPr>
          <w:p>
            <w:r>
              <w:t>Low</w:t>
            </w:r>
          </w:p>
        </w:tc>
        <w:tc>
          <w:tcPr>
            <w:tcW w:type="dxa" w:w="1728"/>
          </w:tcPr>
          <w:p>
            <w:r>
              <w:t>11/30/2025</w:t>
            </w:r>
          </w:p>
        </w:tc>
      </w:tr>
    </w:tbl>
    <w:p>
      <w:pPr>
        <w:pStyle w:val="Heading1"/>
      </w:pPr>
      <w:r>
        <w:t>5. CONCLUSION</w:t>
      </w:r>
    </w:p>
    <w:p>
      <w:r>
        <w:t>The residential mortgage origination process at Meridian National Bank demonstrates a generally sound control framework with appropriate regulatory compliance mechanisms. However, the disabling of an automated monitoring control and the resulting emergence of informal workaround practices represent control gaps that require prompt attention. Management has demonstrated a constructive response to all findings and has committed to remediation timelines that, if executed, will address the identified risks within Q4 2025.</w:t>
      </w:r>
    </w:p>
    <w:p>
      <w:r>
        <w:t>Internal Audit will perform a follow-up review in Q1 2026 to validate remediation completion and assess the operating effectiveness of implemented corrective actions.</w:t>
      </w:r>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