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48"/>
          <w:szCs w:val="48"/>
        </w:rPr>
        <w:t xml:space="preserve">Enterprise Software Governance Playbook</w:t>
      </w:r>
    </w:p>
    <w:p>
      <w:pPr>
        <w:spacing w:after="100"/>
        <w:jc w:val="center"/>
      </w:pPr>
      <w:r>
        <w:rPr>
          <w:rFonts w:ascii="Arial" w:cs="Arial" w:eastAsia="Arial" w:hAnsi="Arial"/>
          <w:color w:val="2E75B6"/>
          <w:sz w:val="36"/>
          <w:szCs w:val="36"/>
        </w:rPr>
        <w:t xml:space="preserve">Intake to Retirement Lifecycle</w:t>
      </w:r>
    </w:p>
    <w:p>
      <w:pPr>
        <w:spacing w:after="400"/>
        <w:jc w:val="center"/>
      </w:pPr>
      <w:r>
        <w:rPr>
          <w:rFonts w:ascii="Arial" w:cs="Arial" w:eastAsia="Arial" w:hAnsi="Arial"/>
          <w:color w:val="4472C4"/>
          <w:sz w:val="32"/>
          <w:szCs w:val="32"/>
        </w:rPr>
        <w:t xml:space="preserve">Section 5: AI Governance &amp; Testing (Parts VI-VII)</w:t>
      </w:r>
    </w:p>
    <w:p>
      <w:pPr>
        <w:spacing w:after="100"/>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March 2026</w:t>
      </w:r>
    </w:p>
    <w:p>
      <w:r>
        <w:br w:type="page"/>
      </w: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Part VI: AI and Machine Learning Governance Framework</w:t>
      </w:r>
    </w:p>
    <w:p>
      <w:pPr>
        <w:spacing w:before="60" w:after="60"/>
      </w:pPr>
    </w:p>
    <w:p>
      <w:pPr>
        <w:pStyle w:val="Heading2"/>
        <w:spacing w:before="280" w:after="160"/>
      </w:pPr>
      <w:r>
        <w:rPr>
          <w:rFonts w:ascii="Arial" w:cs="Arial" w:eastAsia="Arial" w:hAnsi="Arial"/>
          <w:b/>
          <w:bCs/>
          <w:color w:val="2E75B6"/>
          <w:sz w:val="28"/>
          <w:szCs w:val="28"/>
        </w:rPr>
        <w:t xml:space="preserve">VI.1 Executive Overview and Strategic Context</w:t>
      </w:r>
    </w:p>
    <w:p>
      <w:pPr>
        <w:spacing w:before="80" w:after="80" w:line="276"/>
        <w:jc w:val="both"/>
      </w:pPr>
      <w:r>
        <w:rPr>
          <w:rFonts w:ascii="Arial" w:cs="Arial" w:eastAsia="Arial" w:hAnsi="Arial"/>
          <w:color w:val="333333"/>
          <w:sz w:val="22"/>
          <w:szCs w:val="22"/>
        </w:rPr>
        <w:t xml:space="preserve">Artificial intelligence and machine learning systems represent a transformative class of enterprise technology that demands governance structures fundamentally different from traditional software. Unlike deterministic applications whose behavior is fully specified at design time, AI/ML systems learn from data, evolve through retraining, and produce probabilistic outputs that can exhibit emergent behaviors not explicitly programmed. This characteristic necessitates a governance framework that addresses the unique risks of autonomous decision-making, algorithmic bias, model opacity, and data dependency while enabling the organization to capture the substantial competitive advantages that AI capabilities deliver.</w:t>
      </w:r>
    </w:p>
    <w:p>
      <w:pPr>
        <w:spacing w:before="80" w:after="80" w:line="276"/>
        <w:jc w:val="both"/>
      </w:pPr>
      <w:r>
        <w:rPr>
          <w:rFonts w:ascii="Arial" w:cs="Arial" w:eastAsia="Arial" w:hAnsi="Arial"/>
          <w:color w:val="333333"/>
          <w:sz w:val="22"/>
          <w:szCs w:val="22"/>
        </w:rPr>
        <w:t xml:space="preserve">This framework establishes the policies, procedures, organizational structures, and technical controls required to develop, deploy, and operate AI/ML systems responsibly across the enterprise. It integrates with the broader enterprise software governance architecture defined in preceding sections while introducing specialized mechanisms for model lifecycle management, algorithmic accountability, and AI-specific risk mitigation.</w:t>
      </w:r>
    </w:p>
    <w:p>
      <w:pPr>
        <w:pStyle w:val="Heading3"/>
        <w:spacing w:before="220" w:after="120"/>
      </w:pPr>
      <w:r>
        <w:rPr>
          <w:rFonts w:ascii="Arial" w:cs="Arial" w:eastAsia="Arial" w:hAnsi="Arial"/>
          <w:b/>
          <w:bCs/>
          <w:color w:val="4472C4"/>
          <w:sz w:val="24"/>
          <w:szCs w:val="24"/>
        </w:rPr>
        <w:t xml:space="preserve">VI.1.1 Framework Objectives</w:t>
      </w:r>
    </w:p>
    <w:p>
      <w:pPr>
        <w:spacing w:before="80" w:after="80" w:line="276"/>
        <w:jc w:val="both"/>
      </w:pPr>
      <w:r>
        <w:rPr>
          <w:rFonts w:ascii="Arial" w:cs="Arial" w:eastAsia="Arial" w:hAnsi="Arial"/>
          <w:color w:val="333333"/>
          <w:sz w:val="22"/>
          <w:szCs w:val="22"/>
        </w:rPr>
        <w:t xml:space="preserve">The AI Governance Framework pursues five strategic objectives that balance innovation enablement with responsible deployment:</w:t>
      </w:r>
    </w:p>
    <w:p>
      <w:pPr>
        <w:pStyle w:val="ListParagraph"/>
        <w:numPr>
          <w:ilvl w:val="0"/>
          <w:numId w:val="2"/>
        </w:numPr>
        <w:spacing w:before="40" w:after="40" w:line="276"/>
      </w:pPr>
      <w:r>
        <w:rPr>
          <w:rFonts w:ascii="Arial" w:cs="Arial" w:eastAsia="Arial" w:hAnsi="Arial"/>
          <w:b/>
          <w:bCs/>
          <w:color w:val="333333"/>
          <w:sz w:val="22"/>
          <w:szCs w:val="22"/>
        </w:rPr>
        <w:t xml:space="preserve">Accountability and Transparency: </w:t>
      </w:r>
      <w:r>
        <w:rPr>
          <w:rFonts w:ascii="Arial" w:cs="Arial" w:eastAsia="Arial" w:hAnsi="Arial"/>
          <w:color w:val="333333"/>
          <w:sz w:val="22"/>
          <w:szCs w:val="22"/>
        </w:rPr>
        <w:t xml:space="preserve">Establish clear ownership, decision rights, and auditability for all AI/ML systems operating across the enterprise, ensuring that every model in production has an identifiable owner, documented purpose, and traceable decision lineage.</w:t>
      </w:r>
    </w:p>
    <w:p>
      <w:pPr>
        <w:pStyle w:val="ListParagraph"/>
        <w:numPr>
          <w:ilvl w:val="0"/>
          <w:numId w:val="2"/>
        </w:numPr>
        <w:spacing w:before="40" w:after="40" w:line="276"/>
      </w:pPr>
      <w:r>
        <w:rPr>
          <w:rFonts w:ascii="Arial" w:cs="Arial" w:eastAsia="Arial" w:hAnsi="Arial"/>
          <w:b/>
          <w:bCs/>
          <w:color w:val="333333"/>
          <w:sz w:val="22"/>
          <w:szCs w:val="22"/>
        </w:rPr>
        <w:t xml:space="preserve">Risk-Proportionate Controls: </w:t>
      </w:r>
      <w:r>
        <w:rPr>
          <w:rFonts w:ascii="Arial" w:cs="Arial" w:eastAsia="Arial" w:hAnsi="Arial"/>
          <w:color w:val="333333"/>
          <w:sz w:val="22"/>
          <w:szCs w:val="22"/>
        </w:rPr>
        <w:t xml:space="preserve">Implement governance intensity calibrated to the risk profile of each AI application, applying lightweight oversight for low-risk automation while mandating rigorous review for systems that influence consequential decisions affecting customers, employees, or financial outcomes.</w:t>
      </w:r>
    </w:p>
    <w:p>
      <w:pPr>
        <w:pStyle w:val="ListParagraph"/>
        <w:numPr>
          <w:ilvl w:val="0"/>
          <w:numId w:val="2"/>
        </w:numPr>
        <w:spacing w:before="40" w:after="40" w:line="276"/>
      </w:pPr>
      <w:r>
        <w:rPr>
          <w:rFonts w:ascii="Arial" w:cs="Arial" w:eastAsia="Arial" w:hAnsi="Arial"/>
          <w:b/>
          <w:bCs/>
          <w:color w:val="333333"/>
          <w:sz w:val="22"/>
          <w:szCs w:val="22"/>
        </w:rPr>
        <w:t xml:space="preserve">Ethical AI by Design: </w:t>
      </w:r>
      <w:r>
        <w:rPr>
          <w:rFonts w:ascii="Arial" w:cs="Arial" w:eastAsia="Arial" w:hAnsi="Arial"/>
          <w:color w:val="333333"/>
          <w:sz w:val="22"/>
          <w:szCs w:val="22"/>
        </w:rPr>
        <w:t xml:space="preserve">Embed responsible AI principles into every phase of the model lifecycle, from problem formulation and data collection through deployment and retirement, ensuring fairness, privacy preservation, and human dignity are architectural requirements rather than afterthoughts.</w:t>
      </w:r>
    </w:p>
    <w:p>
      <w:pPr>
        <w:pStyle w:val="ListParagraph"/>
        <w:numPr>
          <w:ilvl w:val="0"/>
          <w:numId w:val="2"/>
        </w:numPr>
        <w:spacing w:before="40" w:after="40" w:line="276"/>
      </w:pPr>
      <w:r>
        <w:rPr>
          <w:rFonts w:ascii="Arial" w:cs="Arial" w:eastAsia="Arial" w:hAnsi="Arial"/>
          <w:b/>
          <w:bCs/>
          <w:color w:val="333333"/>
          <w:sz w:val="22"/>
          <w:szCs w:val="22"/>
        </w:rPr>
        <w:t xml:space="preserve">Regulatory Readiness: </w:t>
      </w:r>
      <w:r>
        <w:rPr>
          <w:rFonts w:ascii="Arial" w:cs="Arial" w:eastAsia="Arial" w:hAnsi="Arial"/>
          <w:color w:val="333333"/>
          <w:sz w:val="22"/>
          <w:szCs w:val="22"/>
        </w:rPr>
        <w:t xml:space="preserve">Maintain continuous compliance with evolving AI regulations including the EU AI Act, NIST AI Risk Management Framework, state-level algorithmic accountability laws, and industry-specific requirements, with the agility to adapt as the regulatory landscape matures.</w:t>
      </w:r>
    </w:p>
    <w:p>
      <w:pPr>
        <w:pStyle w:val="ListParagraph"/>
        <w:numPr>
          <w:ilvl w:val="0"/>
          <w:numId w:val="2"/>
        </w:numPr>
        <w:spacing w:before="40" w:after="40" w:line="276"/>
      </w:pPr>
      <w:r>
        <w:rPr>
          <w:rFonts w:ascii="Arial" w:cs="Arial" w:eastAsia="Arial" w:hAnsi="Arial"/>
          <w:b/>
          <w:bCs/>
          <w:color w:val="333333"/>
          <w:sz w:val="22"/>
          <w:szCs w:val="22"/>
        </w:rPr>
        <w:t xml:space="preserve">Innovation Velocity: </w:t>
      </w:r>
      <w:r>
        <w:rPr>
          <w:rFonts w:ascii="Arial" w:cs="Arial" w:eastAsia="Arial" w:hAnsi="Arial"/>
          <w:color w:val="333333"/>
          <w:sz w:val="22"/>
          <w:szCs w:val="22"/>
        </w:rPr>
        <w:t xml:space="preserve">Reduce friction in the AI development pipeline by providing clear guardrails, pre-approved patterns, and automated compliance checks that enable data science teams to move quickly within well-defined boundaries.</w:t>
      </w:r>
    </w:p>
    <w:p>
      <w:pPr>
        <w:pStyle w:val="Heading3"/>
        <w:spacing w:before="220" w:after="120"/>
      </w:pPr>
      <w:r>
        <w:rPr>
          <w:rFonts w:ascii="Arial" w:cs="Arial" w:eastAsia="Arial" w:hAnsi="Arial"/>
          <w:b/>
          <w:bCs/>
          <w:color w:val="4472C4"/>
          <w:sz w:val="24"/>
          <w:szCs w:val="24"/>
        </w:rPr>
        <w:t xml:space="preserve">VI.1.2 Scope and Applicability</w:t>
      </w:r>
    </w:p>
    <w:p>
      <w:pPr>
        <w:spacing w:before="80" w:after="80" w:line="276"/>
        <w:jc w:val="both"/>
      </w:pPr>
      <w:r>
        <w:rPr>
          <w:rFonts w:ascii="Arial" w:cs="Arial" w:eastAsia="Arial" w:hAnsi="Arial"/>
          <w:color w:val="333333"/>
          <w:sz w:val="22"/>
          <w:szCs w:val="22"/>
        </w:rPr>
        <w:t xml:space="preserve">This framework applies to all AI and ML systems across the enterprise, including but not limited to supervised and unsupervised machine learning models, deep learning and neural network systems, natural language processing and generation systems, computer vision and image recognition, robotic process automation with adaptive learning, recommendation and personalization engines, predictive analytics and forecasting models, generative AI systems including large language models, reinforcement learning agents, and AI-augmented decision support systems.</w:t>
      </w:r>
    </w:p>
    <w:p>
      <w:pPr>
        <w:spacing w:before="80" w:after="80" w:line="276"/>
        <w:jc w:val="both"/>
      </w:pPr>
      <w:r>
        <w:rPr>
          <w:rFonts w:ascii="Arial" w:cs="Arial" w:eastAsia="Arial" w:hAnsi="Arial"/>
          <w:color w:val="333333"/>
          <w:sz w:val="22"/>
          <w:szCs w:val="22"/>
        </w:rPr>
        <w:t xml:space="preserve">The framework covers internally developed models, third-party AI products and services, embedded AI capabilities within enterprise platforms, AI features within SaaS applications, and open-source AI models adapted for enterprise use. All systems that meet the threshold of automated inference or decision-making fall within the governance perimeter regardless of their deployment model or hosting environment.</w:t>
      </w:r>
    </w:p>
    <w:p>
      <w:pPr>
        <w:pStyle w:val="Heading3"/>
        <w:spacing w:before="220" w:after="120"/>
      </w:pPr>
      <w:r>
        <w:rPr>
          <w:rFonts w:ascii="Arial" w:cs="Arial" w:eastAsia="Arial" w:hAnsi="Arial"/>
          <w:b/>
          <w:bCs/>
          <w:color w:val="4472C4"/>
          <w:sz w:val="24"/>
          <w:szCs w:val="24"/>
        </w:rPr>
        <w:t xml:space="preserve">VI.1.3 Relationship to Enterprise Governance Architecture</w:t>
      </w:r>
    </w:p>
    <w:p>
      <w:pPr>
        <w:spacing w:before="80" w:after="80" w:line="276"/>
        <w:jc w:val="both"/>
      </w:pPr>
      <w:r>
        <w:rPr>
          <w:rFonts w:ascii="Arial" w:cs="Arial" w:eastAsia="Arial" w:hAnsi="Arial"/>
          <w:color w:val="333333"/>
          <w:sz w:val="22"/>
          <w:szCs w:val="22"/>
        </w:rPr>
        <w:t xml:space="preserve">The AI Governance Framework operates as a specialized layer within the broader enterprise software governance structure established in Parts I through V. It inherits the foundational governance principles, risk management methodology, and lifecycle management approach from those sections while extending them with AI-specific controls. The agentic SDLC architecture defined in Part III provides the development framework within which AI models are built, while the DevSecOps pipeline from Part IV provides the deployment infrastructure. Third-party AI solutions fall under the vendor governance framework in Part V, with additional AI-specific assessment criteria defined in this section.</w:t>
      </w:r>
    </w:p>
    <w:p>
      <w:r>
        <w:br w:type="page"/>
      </w:r>
    </w:p>
    <w:p>
      <w:pPr>
        <w:pStyle w:val="Heading2"/>
        <w:spacing w:before="280" w:after="160"/>
      </w:pPr>
      <w:r>
        <w:rPr>
          <w:rFonts w:ascii="Arial" w:cs="Arial" w:eastAsia="Arial" w:hAnsi="Arial"/>
          <w:b/>
          <w:bCs/>
          <w:color w:val="2E75B6"/>
          <w:sz w:val="28"/>
          <w:szCs w:val="28"/>
        </w:rPr>
        <w:t xml:space="preserve">VI.2 AI Governance Structure and Accountability Model</w:t>
      </w:r>
    </w:p>
    <w:p>
      <w:pPr>
        <w:pStyle w:val="Heading3"/>
        <w:spacing w:before="220" w:after="120"/>
      </w:pPr>
      <w:r>
        <w:rPr>
          <w:rFonts w:ascii="Arial" w:cs="Arial" w:eastAsia="Arial" w:hAnsi="Arial"/>
          <w:b/>
          <w:bCs/>
          <w:color w:val="4472C4"/>
          <w:sz w:val="24"/>
          <w:szCs w:val="24"/>
        </w:rPr>
        <w:t xml:space="preserve">VI.2.1 AI Governance Board</w:t>
      </w:r>
    </w:p>
    <w:p>
      <w:pPr>
        <w:spacing w:before="80" w:after="80" w:line="276"/>
        <w:jc w:val="both"/>
      </w:pPr>
      <w:r>
        <w:rPr>
          <w:rFonts w:ascii="Arial" w:cs="Arial" w:eastAsia="Arial" w:hAnsi="Arial"/>
          <w:color w:val="333333"/>
          <w:sz w:val="22"/>
          <w:szCs w:val="22"/>
        </w:rPr>
        <w:t xml:space="preserve">The AI Governance Board serves as the apex decision-making body for enterprise AI strategy, risk tolerance, and policy. Chaired by the Chief AI Officer or equivalent executive, the Board convenes monthly and includes representation from technology leadership, legal and compliance, risk management, business unit heads with significant AI investments, data governance, ethics and responsible AI, and internal audit. The Board holds authority over enterprise AI strategy and investment priorities, AI risk appetite and tolerance thresholds, approval of high-risk and critical AI deployments, AI policy ratification and exception management, regulatory response coordination, and AI incident escalation and remediation oversight.</w:t>
      </w:r>
    </w:p>
    <w:p>
      <w:pPr>
        <w:pStyle w:val="Heading3"/>
        <w:spacing w:before="220" w:after="120"/>
      </w:pPr>
      <w:r>
        <w:rPr>
          <w:rFonts w:ascii="Arial" w:cs="Arial" w:eastAsia="Arial" w:hAnsi="Arial"/>
          <w:b/>
          <w:bCs/>
          <w:color w:val="4472C4"/>
          <w:sz w:val="24"/>
          <w:szCs w:val="24"/>
        </w:rPr>
        <w:t xml:space="preserve">VI.2.2 AI Ethics Committee</w:t>
      </w:r>
    </w:p>
    <w:p>
      <w:pPr>
        <w:spacing w:before="80" w:after="80" w:line="276"/>
        <w:jc w:val="both"/>
      </w:pPr>
      <w:r>
        <w:rPr>
          <w:rFonts w:ascii="Arial" w:cs="Arial" w:eastAsia="Arial" w:hAnsi="Arial"/>
          <w:color w:val="333333"/>
          <w:sz w:val="22"/>
          <w:szCs w:val="22"/>
        </w:rPr>
        <w:t xml:space="preserve">The AI Ethics Committee operates as an independent advisory body that evaluates AI applications against ethical principles and societal impact considerations. Composed of cross-functional members including external ethics advisors, the Committee reviews all AI systems classified as high-risk or critical before deployment, conducts periodic ethical impact assessments of operational AI systems, advises on emerging ethical challenges and edge cases, publishes ethical guidance and decision frameworks for development teams, and maintains an AI ethics case library documenting precedent decisions and their rationale.</w:t>
      </w:r>
    </w:p>
    <w:p>
      <w:pPr>
        <w:pStyle w:val="Heading3"/>
        <w:spacing w:before="220" w:after="120"/>
      </w:pPr>
      <w:r>
        <w:rPr>
          <w:rFonts w:ascii="Arial" w:cs="Arial" w:eastAsia="Arial" w:hAnsi="Arial"/>
          <w:b/>
          <w:bCs/>
          <w:color w:val="4472C4"/>
          <w:sz w:val="24"/>
          <w:szCs w:val="24"/>
        </w:rPr>
        <w:t xml:space="preserve">VI.2.3 AI Center of Excellence</w:t>
      </w:r>
    </w:p>
    <w:p>
      <w:pPr>
        <w:spacing w:before="80" w:after="80" w:line="276"/>
        <w:jc w:val="both"/>
      </w:pPr>
      <w:r>
        <w:rPr>
          <w:rFonts w:ascii="Arial" w:cs="Arial" w:eastAsia="Arial" w:hAnsi="Arial"/>
          <w:color w:val="333333"/>
          <w:sz w:val="22"/>
          <w:szCs w:val="22"/>
        </w:rPr>
        <w:t xml:space="preserve">The AI Center of Excellence functions as the operational hub for AI governance execution, providing shared services, technical standards, and hands-on support to development teams. Responsibilities include maintaining the AI model registry and inventory, operating the model validation and testing infrastructure, publishing and maintaining AI development standards and patterns, providing consulting services for AI risk assessment and classification, managing the AI governance toolchain, and coordinating AI training and competency development across the organization.</w:t>
      </w:r>
    </w:p>
    <w:p>
      <w:pPr>
        <w:pStyle w:val="Heading3"/>
        <w:spacing w:before="220" w:after="120"/>
      </w:pPr>
      <w:r>
        <w:rPr>
          <w:rFonts w:ascii="Arial" w:cs="Arial" w:eastAsia="Arial" w:hAnsi="Arial"/>
          <w:b/>
          <w:bCs/>
          <w:color w:val="4472C4"/>
          <w:sz w:val="24"/>
          <w:szCs w:val="24"/>
        </w:rPr>
        <w:t xml:space="preserve">VI.2.4 RACI Matrix for AI Governance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160"/>
        <w:gridCol w:w="1200"/>
        <w:gridCol w:w="2000"/>
      </w:tblGrid>
      <w:tr>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Governance Activity</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Gov Board</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Ethics Committee</w:t>
            </w:r>
          </w:p>
        </w:tc>
        <w:tc>
          <w:tcPr>
            <w:tcW w:type="dxa" w:w="1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CoE</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Dev Teams</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Risk/Compliance</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Strategy and Policy</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 Classification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Ethical Impact Assessment</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Validation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 Approval (Critical)</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 Approval (Standard)</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Ongoing Monitoring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Incident Response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Regulatory Compliance</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Retirement</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c>
          <w:tcPr>
            <w:tcW w:type="dxa" w:w="1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w:t>
            </w:r>
          </w:p>
        </w:tc>
      </w:tr>
    </w:tbl>
    <w:p>
      <w:pPr>
        <w:spacing w:before="60" w:after="60"/>
      </w:pPr>
    </w:p>
    <w:p>
      <w:pPr>
        <w:spacing w:before="80" w:after="80" w:line="276"/>
        <w:jc w:val="both"/>
      </w:pPr>
      <w:r>
        <w:rPr>
          <w:rFonts w:ascii="Arial" w:cs="Arial" w:eastAsia="Arial" w:hAnsi="Arial"/>
          <w:color w:val="333333"/>
          <w:sz w:val="22"/>
          <w:szCs w:val="22"/>
        </w:rPr>
        <w:t xml:space="preserve">Legend: R = Responsible, A = Accountable, C = Consulted, I = Informed. The RACI assignments calibrate by AI risk tier, with the table above reflecting the default allocation that escalates for higher-risk systems.</w:t>
      </w:r>
    </w:p>
    <w:p>
      <w:r>
        <w:br w:type="page"/>
      </w:r>
    </w:p>
    <w:p>
      <w:pPr>
        <w:pStyle w:val="Heading2"/>
        <w:spacing w:before="280" w:after="160"/>
      </w:pPr>
      <w:r>
        <w:rPr>
          <w:rFonts w:ascii="Arial" w:cs="Arial" w:eastAsia="Arial" w:hAnsi="Arial"/>
          <w:b/>
          <w:bCs/>
          <w:color w:val="2E75B6"/>
          <w:sz w:val="28"/>
          <w:szCs w:val="28"/>
        </w:rPr>
        <w:t xml:space="preserve">VI.3 AI Risk Classification and Tiering Model</w:t>
      </w:r>
    </w:p>
    <w:p>
      <w:pPr>
        <w:pStyle w:val="Heading3"/>
        <w:spacing w:before="220" w:after="120"/>
      </w:pPr>
      <w:r>
        <w:rPr>
          <w:rFonts w:ascii="Arial" w:cs="Arial" w:eastAsia="Arial" w:hAnsi="Arial"/>
          <w:b/>
          <w:bCs/>
          <w:color w:val="4472C4"/>
          <w:sz w:val="24"/>
          <w:szCs w:val="24"/>
        </w:rPr>
        <w:t xml:space="preserve">VI.3.1 AI Risk Dimensions</w:t>
      </w:r>
    </w:p>
    <w:p>
      <w:pPr>
        <w:spacing w:before="80" w:after="80" w:line="276"/>
        <w:jc w:val="both"/>
      </w:pPr>
      <w:r>
        <w:rPr>
          <w:rFonts w:ascii="Arial" w:cs="Arial" w:eastAsia="Arial" w:hAnsi="Arial"/>
          <w:color w:val="333333"/>
          <w:sz w:val="22"/>
          <w:szCs w:val="22"/>
        </w:rPr>
        <w:t xml:space="preserve">AI systems are assessed across eight risk dimensions, each scored on a five-point scale from minimal to critical. The composite risk score determines the governance tier and corresponding control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5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Autonomy Level</w:t>
            </w:r>
          </w:p>
        </w:tc>
        <w:tc>
          <w:tcPr>
            <w:tcW w:type="dxa" w:w="5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Degree to which the AI operates without human oversight or intervention</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Decision Consequence</w:t>
            </w:r>
          </w:p>
        </w:tc>
        <w:tc>
          <w:tcPr>
            <w:tcW w:type="dxa" w:w="5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Severity and reversibility of outcomes influenced by the AI system</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Sensitivity</w:t>
            </w:r>
          </w:p>
        </w:tc>
        <w:tc>
          <w:tcPr>
            <w:tcW w:type="dxa" w:w="5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Classification level of data consumed, processed, or generated by the model</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Affected Population</w:t>
            </w:r>
          </w:p>
        </w:tc>
        <w:tc>
          <w:tcPr>
            <w:tcW w:type="dxa" w:w="5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Scale and vulnerability of individuals impacted by AI outputs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Transparency Requirement</w:t>
            </w:r>
          </w:p>
        </w:tc>
        <w:tc>
          <w:tcPr>
            <w:tcW w:type="dxa" w:w="5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Regulatory or business need for explainability of AI decisions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Bias Potential</w:t>
            </w:r>
          </w:p>
        </w:tc>
        <w:tc>
          <w:tcPr>
            <w:tcW w:type="dxa" w:w="5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Likelihood and severity of discriminatory outcomes based on protected attributes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Operational Dependency</w:t>
            </w:r>
          </w:p>
        </w:tc>
        <w:tc>
          <w:tcPr>
            <w:tcW w:type="dxa" w:w="5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Extent to which business processes depend on AI system availability</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Regulatory Exposure</w:t>
            </w:r>
          </w:p>
        </w:tc>
        <w:tc>
          <w:tcPr>
            <w:tcW w:type="dxa" w:w="5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Applicability of AI-specific regulations and compliance obligations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r>
    </w:tbl>
    <w:p>
      <w:pPr>
        <w:pStyle w:val="Heading3"/>
        <w:spacing w:before="220" w:after="120"/>
      </w:pPr>
      <w:r>
        <w:rPr>
          <w:rFonts w:ascii="Arial" w:cs="Arial" w:eastAsia="Arial" w:hAnsi="Arial"/>
          <w:b/>
          <w:bCs/>
          <w:color w:val="4472C4"/>
          <w:sz w:val="24"/>
          <w:szCs w:val="24"/>
        </w:rPr>
        <w:t xml:space="preserve">VI.3.2 AI Risk Tiers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960"/>
        <w:gridCol w:w="1600"/>
        <w:gridCol w:w="240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Tier</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Score</w:t>
            </w:r>
          </w:p>
        </w:tc>
        <w:tc>
          <w:tcPr>
            <w:tcW w:type="dxa" w:w="2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Review Cadence</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Approval Authority</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4.0 - 5.0</w:t>
            </w:r>
          </w:p>
        </w:tc>
        <w:tc>
          <w:tcPr>
            <w:tcW w:type="dxa" w:w="29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Autonomous lending decisions, clinical diagnosis, safety-critical systems</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Monthly</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Governance Board</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3.0 - 3.9</w:t>
            </w:r>
          </w:p>
        </w:tc>
        <w:tc>
          <w:tcPr>
            <w:tcW w:type="dxa" w:w="2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Fraud detection, hiring screening, credit scoring, content moderation</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Quarterly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Ethics Committee + CoE</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Medium</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2.0 - 2.9</w:t>
            </w:r>
          </w:p>
        </w:tc>
        <w:tc>
          <w:tcPr>
            <w:tcW w:type="dxa" w:w="29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Demand forecasting, recommendation engines, chatbots with escalation</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Semi-annually</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Center of Excellence</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Low</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1.0 - 1.9</w:t>
            </w:r>
          </w:p>
        </w:tc>
        <w:tc>
          <w:tcPr>
            <w:tcW w:type="dxa" w:w="2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Internal process automation, document classification, spell-check AI</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Annually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Development Team Lead</w:t>
            </w:r>
          </w:p>
        </w:tc>
      </w:tr>
    </w:tbl>
    <w:p>
      <w:pPr>
        <w:pStyle w:val="Heading3"/>
        <w:spacing w:before="220" w:after="120"/>
      </w:pPr>
      <w:r>
        <w:rPr>
          <w:rFonts w:ascii="Arial" w:cs="Arial" w:eastAsia="Arial" w:hAnsi="Arial"/>
          <w:b/>
          <w:bCs/>
          <w:color w:val="4472C4"/>
          <w:sz w:val="24"/>
          <w:szCs w:val="24"/>
        </w:rPr>
        <w:t xml:space="preserve">VI.3.3 Classification Workflow</w:t>
      </w:r>
    </w:p>
    <w:p>
      <w:pPr>
        <w:spacing w:before="80" w:after="80" w:line="276"/>
        <w:jc w:val="both"/>
      </w:pPr>
      <w:r>
        <w:rPr>
          <w:rFonts w:ascii="Arial" w:cs="Arial" w:eastAsia="Arial" w:hAnsi="Arial"/>
          <w:color w:val="333333"/>
          <w:sz w:val="22"/>
          <w:szCs w:val="22"/>
        </w:rPr>
        <w:t xml:space="preserve">Every AI initiative must undergo risk classification before entering the development pipeline. The process follows a structured workflow: the requesting team completes the AI Initiative Intake Form documenting intended use, data sources, affected populations, and business context. The AI CoE conducts an initial screening using the eight-dimension risk assessment, scoring each dimension and computing the weighted composite score. For systems scoring above 3.0, the AI Ethics Committee conducts a supplementary ethical impact assessment. The final tier assignment is documented in the AI Model Registry and triggers the corresponding governance controls. Classification is not static; material changes to data sources, model architecture, use cases, or affected populations trigger reclassification. Quarterly automated scans compare operational characteristics against the original classification to detect drift.</w:t>
      </w:r>
    </w:p>
    <w:p>
      <w:r>
        <w:br w:type="page"/>
      </w:r>
    </w:p>
    <w:p>
      <w:pPr>
        <w:pStyle w:val="Heading2"/>
        <w:spacing w:before="280" w:after="160"/>
      </w:pPr>
      <w:r>
        <w:rPr>
          <w:rFonts w:ascii="Arial" w:cs="Arial" w:eastAsia="Arial" w:hAnsi="Arial"/>
          <w:b/>
          <w:bCs/>
          <w:color w:val="2E75B6"/>
          <w:sz w:val="28"/>
          <w:szCs w:val="28"/>
        </w:rPr>
        <w:t xml:space="preserve">VI.4 Responsible AI Principles and Ethical Framework</w:t>
      </w:r>
    </w:p>
    <w:p>
      <w:pPr>
        <w:pStyle w:val="Heading3"/>
        <w:spacing w:before="220" w:after="120"/>
      </w:pPr>
      <w:r>
        <w:rPr>
          <w:rFonts w:ascii="Arial" w:cs="Arial" w:eastAsia="Arial" w:hAnsi="Arial"/>
          <w:b/>
          <w:bCs/>
          <w:color w:val="4472C4"/>
          <w:sz w:val="24"/>
          <w:szCs w:val="24"/>
        </w:rPr>
        <w:t xml:space="preserve">VI.4.1 Core Ethical Principles</w:t>
      </w:r>
    </w:p>
    <w:p>
      <w:pPr>
        <w:spacing w:before="80" w:after="80" w:line="276"/>
        <w:jc w:val="both"/>
      </w:pPr>
      <w:r>
        <w:rPr>
          <w:rFonts w:ascii="Arial" w:cs="Arial" w:eastAsia="Arial" w:hAnsi="Arial"/>
          <w:color w:val="333333"/>
          <w:sz w:val="22"/>
          <w:szCs w:val="22"/>
        </w:rPr>
        <w:t xml:space="preserve">The enterprise commits to six foundational principles that guide all AI development, deployment, and operation:</w:t>
      </w:r>
    </w:p>
    <w:p>
      <w:pPr>
        <w:pStyle w:val="ListParagraph"/>
        <w:numPr>
          <w:ilvl w:val="0"/>
          <w:numId w:val="2"/>
        </w:numPr>
        <w:spacing w:before="40" w:after="40" w:line="276"/>
      </w:pPr>
      <w:r>
        <w:rPr>
          <w:rFonts w:ascii="Arial" w:cs="Arial" w:eastAsia="Arial" w:hAnsi="Arial"/>
          <w:b/>
          <w:bCs/>
          <w:color w:val="333333"/>
          <w:sz w:val="22"/>
          <w:szCs w:val="22"/>
        </w:rPr>
        <w:t xml:space="preserve">Fairness and Non-Discrimination: </w:t>
      </w:r>
      <w:r>
        <w:rPr>
          <w:rFonts w:ascii="Arial" w:cs="Arial" w:eastAsia="Arial" w:hAnsi="Arial"/>
          <w:color w:val="333333"/>
          <w:sz w:val="22"/>
          <w:szCs w:val="22"/>
        </w:rPr>
        <w:t xml:space="preserve">AI systems must not create or reinforce unfair bias against individuals or groups based on protected characteristics including race, gender, age, disability, religion, national origin, or socioeconomic status. Fairness requirements are defined during problem formulation and validated throughout the model lifecycle using multiple fairness metrics appropriate to the use case.</w:t>
      </w:r>
    </w:p>
    <w:p>
      <w:pPr>
        <w:pStyle w:val="ListParagraph"/>
        <w:numPr>
          <w:ilvl w:val="0"/>
          <w:numId w:val="2"/>
        </w:numPr>
        <w:spacing w:before="40" w:after="40" w:line="276"/>
      </w:pPr>
      <w:r>
        <w:rPr>
          <w:rFonts w:ascii="Arial" w:cs="Arial" w:eastAsia="Arial" w:hAnsi="Arial"/>
          <w:b/>
          <w:bCs/>
          <w:color w:val="333333"/>
          <w:sz w:val="22"/>
          <w:szCs w:val="22"/>
        </w:rPr>
        <w:t xml:space="preserve">Transparency and Explainability: </w:t>
      </w:r>
      <w:r>
        <w:rPr>
          <w:rFonts w:ascii="Arial" w:cs="Arial" w:eastAsia="Arial" w:hAnsi="Arial"/>
          <w:color w:val="333333"/>
          <w:sz w:val="22"/>
          <w:szCs w:val="22"/>
        </w:rPr>
        <w:t xml:space="preserve">AI decisions that materially affect individuals must be explainable in terms meaningful to the affected parties and reviewable by qualified humans. The level of explainability required is proportionate to the decision consequence and regulatory requirements.</w:t>
      </w:r>
    </w:p>
    <w:p>
      <w:pPr>
        <w:pStyle w:val="ListParagraph"/>
        <w:numPr>
          <w:ilvl w:val="0"/>
          <w:numId w:val="2"/>
        </w:numPr>
        <w:spacing w:before="40" w:after="40" w:line="276"/>
      </w:pPr>
      <w:r>
        <w:rPr>
          <w:rFonts w:ascii="Arial" w:cs="Arial" w:eastAsia="Arial" w:hAnsi="Arial"/>
          <w:b/>
          <w:bCs/>
          <w:color w:val="333333"/>
          <w:sz w:val="22"/>
          <w:szCs w:val="22"/>
        </w:rPr>
        <w:t xml:space="preserve">Privacy and Data Protection: </w:t>
      </w:r>
      <w:r>
        <w:rPr>
          <w:rFonts w:ascii="Arial" w:cs="Arial" w:eastAsia="Arial" w:hAnsi="Arial"/>
          <w:color w:val="333333"/>
          <w:sz w:val="22"/>
          <w:szCs w:val="22"/>
        </w:rPr>
        <w:t xml:space="preserve">AI systems must respect individual privacy rights, minimize data collection to what is necessary, implement purpose limitation controls, and provide meaningful consent and opt-out mechanisms where applicable. Privacy-enhancing technologies such as differential privacy, federated learning, and synthetic data generation are preferred design patterns.</w:t>
      </w:r>
    </w:p>
    <w:p>
      <w:pPr>
        <w:pStyle w:val="ListParagraph"/>
        <w:numPr>
          <w:ilvl w:val="0"/>
          <w:numId w:val="2"/>
        </w:numPr>
        <w:spacing w:before="40" w:after="40" w:line="276"/>
      </w:pPr>
      <w:r>
        <w:rPr>
          <w:rFonts w:ascii="Arial" w:cs="Arial" w:eastAsia="Arial" w:hAnsi="Arial"/>
          <w:b/>
          <w:bCs/>
          <w:color w:val="333333"/>
          <w:sz w:val="22"/>
          <w:szCs w:val="22"/>
        </w:rPr>
        <w:t xml:space="preserve">Safety and Reliability: </w:t>
      </w:r>
      <w:r>
        <w:rPr>
          <w:rFonts w:ascii="Arial" w:cs="Arial" w:eastAsia="Arial" w:hAnsi="Arial"/>
          <w:color w:val="333333"/>
          <w:sz w:val="22"/>
          <w:szCs w:val="22"/>
        </w:rPr>
        <w:t xml:space="preserve">AI systems must operate within defined safety boundaries, degrade gracefully under adverse conditions, and include fail-safe mechanisms that transfer control to human operators when confidence thresholds are not met. Safety-critical AI systems require formal verification and redundant validation.</w:t>
      </w:r>
    </w:p>
    <w:p>
      <w:pPr>
        <w:pStyle w:val="ListParagraph"/>
        <w:numPr>
          <w:ilvl w:val="0"/>
          <w:numId w:val="2"/>
        </w:numPr>
        <w:spacing w:before="40" w:after="40" w:line="276"/>
      </w:pPr>
      <w:r>
        <w:rPr>
          <w:rFonts w:ascii="Arial" w:cs="Arial" w:eastAsia="Arial" w:hAnsi="Arial"/>
          <w:b/>
          <w:bCs/>
          <w:color w:val="333333"/>
          <w:sz w:val="22"/>
          <w:szCs w:val="22"/>
        </w:rPr>
        <w:t xml:space="preserve">Accountability and Human Oversight: </w:t>
      </w:r>
      <w:r>
        <w:rPr>
          <w:rFonts w:ascii="Arial" w:cs="Arial" w:eastAsia="Arial" w:hAnsi="Arial"/>
          <w:color w:val="333333"/>
          <w:sz w:val="22"/>
          <w:szCs w:val="22"/>
        </w:rPr>
        <w:t xml:space="preserve">Every AI system must have clearly designated human accountability at the individual and organizational level. Humans must retain meaningful control over consequential AI decisions, with the degree of human oversight calibrated to the risk tier.</w:t>
      </w:r>
    </w:p>
    <w:p>
      <w:pPr>
        <w:pStyle w:val="ListParagraph"/>
        <w:numPr>
          <w:ilvl w:val="0"/>
          <w:numId w:val="2"/>
        </w:numPr>
        <w:spacing w:before="40" w:after="40" w:line="276"/>
      </w:pPr>
      <w:r>
        <w:rPr>
          <w:rFonts w:ascii="Arial" w:cs="Arial" w:eastAsia="Arial" w:hAnsi="Arial"/>
          <w:b/>
          <w:bCs/>
          <w:color w:val="333333"/>
          <w:sz w:val="22"/>
          <w:szCs w:val="22"/>
        </w:rPr>
        <w:t xml:space="preserve">Societal and Environmental Responsibility: </w:t>
      </w:r>
      <w:r>
        <w:rPr>
          <w:rFonts w:ascii="Arial" w:cs="Arial" w:eastAsia="Arial" w:hAnsi="Arial"/>
          <w:color w:val="333333"/>
          <w:sz w:val="22"/>
          <w:szCs w:val="22"/>
        </w:rPr>
        <w:t xml:space="preserve">AI systems should be developed and deployed with consideration for broader societal impact, environmental sustainability of computational resources, and alignment with organizational values and stakeholder expectations.</w:t>
      </w:r>
    </w:p>
    <w:p>
      <w:pPr>
        <w:pStyle w:val="Heading3"/>
        <w:spacing w:before="220" w:after="120"/>
      </w:pPr>
      <w:r>
        <w:rPr>
          <w:rFonts w:ascii="Arial" w:cs="Arial" w:eastAsia="Arial" w:hAnsi="Arial"/>
          <w:b/>
          <w:bCs/>
          <w:color w:val="4472C4"/>
          <w:sz w:val="24"/>
          <w:szCs w:val="24"/>
        </w:rPr>
        <w:t xml:space="preserve">VI.4.2 Ethical Impact Assessment Methodology</w:t>
      </w:r>
    </w:p>
    <w:p>
      <w:pPr>
        <w:spacing w:before="80" w:after="80" w:line="276"/>
        <w:jc w:val="both"/>
      </w:pPr>
      <w:r>
        <w:rPr>
          <w:rFonts w:ascii="Arial" w:cs="Arial" w:eastAsia="Arial" w:hAnsi="Arial"/>
          <w:color w:val="333333"/>
          <w:sz w:val="22"/>
          <w:szCs w:val="22"/>
        </w:rPr>
        <w:t xml:space="preserve">The Ethical Impact Assessment is a structured evaluation conducted for all high-risk and critical AI systems. The assessment examines the AI system across four domains:</w:t>
      </w:r>
    </w:p>
    <w:p>
      <w:pPr>
        <w:spacing w:before="80" w:after="80" w:line="276"/>
        <w:jc w:val="both"/>
      </w:pPr>
      <w:r>
        <w:rPr>
          <w:rFonts w:ascii="Arial" w:cs="Arial" w:eastAsia="Arial" w:hAnsi="Arial"/>
          <w:b/>
          <w:bCs/>
          <w:color w:val="333333"/>
          <w:sz w:val="22"/>
          <w:szCs w:val="22"/>
        </w:rPr>
        <w:t xml:space="preserve">Stakeholder Impact Analysis: </w:t>
      </w:r>
      <w:r>
        <w:rPr>
          <w:rFonts w:ascii="Arial" w:cs="Arial" w:eastAsia="Arial" w:hAnsi="Arial"/>
          <w:color w:val="333333"/>
          <w:sz w:val="22"/>
          <w:szCs w:val="22"/>
        </w:rPr>
        <w:t xml:space="preserve">Identifies all parties affected by the AI system including direct users, decision subjects, organizational stakeholders, and broader communities. Maps potential benefits and harms for each stakeholder group and assesses distributional equity of outcomes.</w:t>
      </w:r>
    </w:p>
    <w:p>
      <w:pPr>
        <w:spacing w:before="80" w:after="80" w:line="276"/>
        <w:jc w:val="both"/>
      </w:pPr>
      <w:r>
        <w:rPr>
          <w:rFonts w:ascii="Arial" w:cs="Arial" w:eastAsia="Arial" w:hAnsi="Arial"/>
          <w:b/>
          <w:bCs/>
          <w:color w:val="333333"/>
          <w:sz w:val="22"/>
          <w:szCs w:val="22"/>
        </w:rPr>
        <w:t xml:space="preserve">Rights and Freedoms Assessment: </w:t>
      </w:r>
      <w:r>
        <w:rPr>
          <w:rFonts w:ascii="Arial" w:cs="Arial" w:eastAsia="Arial" w:hAnsi="Arial"/>
          <w:color w:val="333333"/>
          <w:sz w:val="22"/>
          <w:szCs w:val="22"/>
        </w:rPr>
        <w:t xml:space="preserve">Evaluates the AI system against fundamental rights frameworks including privacy, non-discrimination, due process, freedom of expression, and human dignity. Documents any rights limitations and justifies them against the proportionality principle.</w:t>
      </w:r>
    </w:p>
    <w:p>
      <w:pPr>
        <w:spacing w:before="80" w:after="80" w:line="276"/>
        <w:jc w:val="both"/>
      </w:pPr>
      <w:r>
        <w:rPr>
          <w:rFonts w:ascii="Arial" w:cs="Arial" w:eastAsia="Arial" w:hAnsi="Arial"/>
          <w:b/>
          <w:bCs/>
          <w:color w:val="333333"/>
          <w:sz w:val="22"/>
          <w:szCs w:val="22"/>
        </w:rPr>
        <w:t xml:space="preserve">Power Dynamics and Vulnerability Assessment: </w:t>
      </w:r>
      <w:r>
        <w:rPr>
          <w:rFonts w:ascii="Arial" w:cs="Arial" w:eastAsia="Arial" w:hAnsi="Arial"/>
          <w:color w:val="333333"/>
          <w:sz w:val="22"/>
          <w:szCs w:val="22"/>
        </w:rPr>
        <w:t xml:space="preserve">Examines how the AI system affects power relationships between individuals and organizations, with particular attention to vulnerable populations, information asymmetries, and the potential for coercion or manipulation.</w:t>
      </w:r>
    </w:p>
    <w:p>
      <w:pPr>
        <w:spacing w:before="80" w:after="80" w:line="276"/>
        <w:jc w:val="both"/>
      </w:pPr>
      <w:r>
        <w:rPr>
          <w:rFonts w:ascii="Arial" w:cs="Arial" w:eastAsia="Arial" w:hAnsi="Arial"/>
          <w:b/>
          <w:bCs/>
          <w:color w:val="333333"/>
          <w:sz w:val="22"/>
          <w:szCs w:val="22"/>
        </w:rPr>
        <w:t xml:space="preserve">Long-Term Societal Impact Analysis: </w:t>
      </w:r>
      <w:r>
        <w:rPr>
          <w:rFonts w:ascii="Arial" w:cs="Arial" w:eastAsia="Arial" w:hAnsi="Arial"/>
          <w:color w:val="333333"/>
          <w:sz w:val="22"/>
          <w:szCs w:val="22"/>
        </w:rPr>
        <w:t xml:space="preserve">Considers systemic effects including labor market impacts, competitive dynamics, environmental consequences of computing resources, and potential for dual-use or misuse scenarios.</w:t>
      </w:r>
    </w:p>
    <w:p>
      <w:pPr>
        <w:pStyle w:val="Heading3"/>
        <w:spacing w:before="220" w:after="120"/>
      </w:pPr>
      <w:r>
        <w:rPr>
          <w:rFonts w:ascii="Arial" w:cs="Arial" w:eastAsia="Arial" w:hAnsi="Arial"/>
          <w:b/>
          <w:bCs/>
          <w:color w:val="4472C4"/>
          <w:sz w:val="24"/>
          <w:szCs w:val="24"/>
        </w:rPr>
        <w:t xml:space="preserve">VI.4.3 Ethical Decision Framework</w:t>
      </w:r>
    </w:p>
    <w:p>
      <w:pPr>
        <w:spacing w:before="80" w:after="80" w:line="276"/>
        <w:jc w:val="both"/>
      </w:pPr>
      <w:r>
        <w:rPr>
          <w:rFonts w:ascii="Arial" w:cs="Arial" w:eastAsia="Arial" w:hAnsi="Arial"/>
          <w:color w:val="333333"/>
          <w:sz w:val="22"/>
          <w:szCs w:val="22"/>
        </w:rPr>
        <w:t xml:space="preserve">When ethical tensions arise between competing principles or between ethical considerations and business objectives, the framework applies a structured resolution process. The Ethics Committee evaluates conflicts using the proportionality test, which weighs the severity of potential harm against the magnitude of intended benefit, the necessity test, which assesses whether less ethically problematic alternatives could achieve the same objective, the reversibility assessment, which considers whether adverse outcomes can be detected and corrected, and the consent and transparency check, which evaluates whether affected parties have been informed and given meaningful choice. Decisions and their rationale are documented in the AI Ethics Case Library to build institutional knowledge and ensure consistency.</w:t>
      </w:r>
    </w:p>
    <w:p>
      <w:r>
        <w:br w:type="page"/>
      </w:r>
    </w:p>
    <w:p>
      <w:pPr>
        <w:pStyle w:val="Heading2"/>
        <w:spacing w:before="280" w:after="160"/>
      </w:pPr>
      <w:r>
        <w:rPr>
          <w:rFonts w:ascii="Arial" w:cs="Arial" w:eastAsia="Arial" w:hAnsi="Arial"/>
          <w:b/>
          <w:bCs/>
          <w:color w:val="2E75B6"/>
          <w:sz w:val="28"/>
          <w:szCs w:val="28"/>
        </w:rPr>
        <w:t xml:space="preserve">VI.5 AI Model Lifecycle Governance</w:t>
      </w:r>
    </w:p>
    <w:p>
      <w:pPr>
        <w:pStyle w:val="Heading3"/>
        <w:spacing w:before="220" w:after="120"/>
      </w:pPr>
      <w:r>
        <w:rPr>
          <w:rFonts w:ascii="Arial" w:cs="Arial" w:eastAsia="Arial" w:hAnsi="Arial"/>
          <w:b/>
          <w:bCs/>
          <w:color w:val="4472C4"/>
          <w:sz w:val="24"/>
          <w:szCs w:val="24"/>
        </w:rPr>
        <w:t xml:space="preserve">VI.5.1 Model Lifecycle Stages</w:t>
      </w:r>
    </w:p>
    <w:p>
      <w:pPr>
        <w:spacing w:before="80" w:after="80" w:line="276"/>
        <w:jc w:val="both"/>
      </w:pPr>
      <w:r>
        <w:rPr>
          <w:rFonts w:ascii="Arial" w:cs="Arial" w:eastAsia="Arial" w:hAnsi="Arial"/>
          <w:color w:val="333333"/>
          <w:sz w:val="22"/>
          <w:szCs w:val="22"/>
        </w:rPr>
        <w:t xml:space="preserve">AI model governance spans eight lifecycle stages, each with defined entry and exit criteria, required artifacts, and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Stage</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Activities</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Required Artifacts</w:t>
            </w:r>
          </w:p>
        </w:tc>
        <w:tc>
          <w:tcPr>
            <w:tcW w:type="dxa" w:w="2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Quality Gate</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Problem Formulation</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Use case definition, feasibility assessment, success criteria</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Initiative Charter, Risk Classification</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 justification approved</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Data Acquisition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sourcing, collection, labeling, privacy assessment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Lineage Map, Privacy Impact Assessment</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quality and compliance verified</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 Model Development</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Feature engineering, architecture selection, training, tuning</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Design Document, Experiment Log</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Baseline performance achieved</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Model Validation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Independent testing, bias evaluation, robustness assessment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Validation Report, Fairness Assessment</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Validation criteria met</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 Pre-Production Review</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Governance review, documentation completeness, deployment readiness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Card, Deployment Plan</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Governance approval obtained</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 Deployment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Staged rollout, A/B testing, integration verification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Deployment Manifest, Rollback Plan</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 readiness confirmed</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 Monitoring and Maintenance</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Performance tracking, drift detection, retraining triggers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Monitoring Dashboard, Drift Reports</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SLOs continuously met</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 Retirement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Decommission planning, knowledge preservation, transition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Retirement Plan, Archive Package</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Clean decommission verified</w:t>
            </w:r>
          </w:p>
        </w:tc>
      </w:tr>
    </w:tbl>
    <w:p>
      <w:pPr>
        <w:pStyle w:val="Heading3"/>
        <w:spacing w:before="220" w:after="120"/>
      </w:pPr>
      <w:r>
        <w:rPr>
          <w:rFonts w:ascii="Arial" w:cs="Arial" w:eastAsia="Arial" w:hAnsi="Arial"/>
          <w:b/>
          <w:bCs/>
          <w:color w:val="4472C4"/>
          <w:sz w:val="24"/>
          <w:szCs w:val="24"/>
        </w:rPr>
        <w:t xml:space="preserve">VI.5.2 Model Registry and Inventory Management</w:t>
      </w:r>
    </w:p>
    <w:p>
      <w:pPr>
        <w:spacing w:before="80" w:after="80" w:line="276"/>
        <w:jc w:val="both"/>
      </w:pPr>
      <w:r>
        <w:rPr>
          <w:rFonts w:ascii="Arial" w:cs="Arial" w:eastAsia="Arial" w:hAnsi="Arial"/>
          <w:color w:val="333333"/>
          <w:sz w:val="22"/>
          <w:szCs w:val="22"/>
        </w:rPr>
        <w:t xml:space="preserve">The AI Model Registry serves as the authoritative system of record for all AI/ML models across the enterprise. Every model, regardless of deployment status, must be registered with a comprehensive metadata profile including model identifier and version, business owner and technical owner, risk classification tier, training data summary and lineage, performance metrics and validation results, deployment environment and endpoints, monitoring configuration and alerting thresholds, regulatory and compliance applicability, and interdependencies with other systems and models.</w:t>
      </w:r>
    </w:p>
    <w:p>
      <w:pPr>
        <w:spacing w:before="80" w:after="80" w:line="276"/>
        <w:jc w:val="both"/>
      </w:pPr>
      <w:r>
        <w:rPr>
          <w:rFonts w:ascii="Arial" w:cs="Arial" w:eastAsia="Arial" w:hAnsi="Arial"/>
          <w:color w:val="333333"/>
          <w:sz w:val="22"/>
          <w:szCs w:val="22"/>
        </w:rPr>
        <w:t xml:space="preserve">The Registry enforces lifecycle state management, ensuring that models cannot transition between stages without satisfying the required quality gates. It provides version control for model artifacts including weights, configurations, feature pipelines, and serving infrastructure definitions, enabling full reproducibility and auditability.</w:t>
      </w:r>
    </w:p>
    <w:p>
      <w:pPr>
        <w:pStyle w:val="Heading3"/>
        <w:spacing w:before="220" w:after="120"/>
      </w:pPr>
      <w:r>
        <w:rPr>
          <w:rFonts w:ascii="Arial" w:cs="Arial" w:eastAsia="Arial" w:hAnsi="Arial"/>
          <w:b/>
          <w:bCs/>
          <w:color w:val="4472C4"/>
          <w:sz w:val="24"/>
          <w:szCs w:val="24"/>
        </w:rPr>
        <w:t xml:space="preserve">VI.5.3 Model Versioning and Change Management</w:t>
      </w:r>
    </w:p>
    <w:p>
      <w:pPr>
        <w:spacing w:before="80" w:after="80" w:line="276"/>
        <w:jc w:val="both"/>
      </w:pPr>
      <w:r>
        <w:rPr>
          <w:rFonts w:ascii="Arial" w:cs="Arial" w:eastAsia="Arial" w:hAnsi="Arial"/>
          <w:color w:val="333333"/>
          <w:sz w:val="22"/>
          <w:szCs w:val="22"/>
        </w:rPr>
        <w:t xml:space="preserve">All model changes follow a formal change management process that distinguishes between three change categories:</w:t>
      </w:r>
    </w:p>
    <w:p>
      <w:pPr>
        <w:pStyle w:val="ListParagraph"/>
        <w:numPr>
          <w:ilvl w:val="0"/>
          <w:numId w:val="2"/>
        </w:numPr>
        <w:spacing w:before="40" w:after="40" w:line="276"/>
      </w:pPr>
      <w:r>
        <w:rPr>
          <w:rFonts w:ascii="Arial" w:cs="Arial" w:eastAsia="Arial" w:hAnsi="Arial"/>
          <w:b/>
          <w:bCs/>
          <w:color w:val="333333"/>
          <w:sz w:val="22"/>
          <w:szCs w:val="22"/>
        </w:rPr>
        <w:t xml:space="preserve">Routine Retraining: </w:t>
      </w:r>
      <w:r>
        <w:rPr>
          <w:rFonts w:ascii="Arial" w:cs="Arial" w:eastAsia="Arial" w:hAnsi="Arial"/>
          <w:color w:val="333333"/>
          <w:sz w:val="22"/>
          <w:szCs w:val="22"/>
        </w:rPr>
        <w:t xml:space="preserve">Scheduled retraining on new data using the same architecture and feature set. Requires automated validation against baseline metrics and notification to model owners. Does not require governance re-approval unless performance deviates beyond defined thresholds.</w:t>
      </w:r>
    </w:p>
    <w:p>
      <w:pPr>
        <w:pStyle w:val="ListParagraph"/>
        <w:numPr>
          <w:ilvl w:val="0"/>
          <w:numId w:val="2"/>
        </w:numPr>
        <w:spacing w:before="40" w:after="40" w:line="276"/>
      </w:pPr>
      <w:r>
        <w:rPr>
          <w:rFonts w:ascii="Arial" w:cs="Arial" w:eastAsia="Arial" w:hAnsi="Arial"/>
          <w:b/>
          <w:bCs/>
          <w:color w:val="333333"/>
          <w:sz w:val="22"/>
          <w:szCs w:val="22"/>
        </w:rPr>
        <w:t xml:space="preserve">Significant Modification: </w:t>
      </w:r>
      <w:r>
        <w:rPr>
          <w:rFonts w:ascii="Arial" w:cs="Arial" w:eastAsia="Arial" w:hAnsi="Arial"/>
          <w:color w:val="333333"/>
          <w:sz w:val="22"/>
          <w:szCs w:val="22"/>
        </w:rPr>
        <w:t xml:space="preserve">Changes to model architecture, feature engineering, training methodology, or deployment configuration. Requires abbreviated governance review including updated model documentation and validation testing.</w:t>
      </w:r>
    </w:p>
    <w:p>
      <w:pPr>
        <w:pStyle w:val="ListParagraph"/>
        <w:numPr>
          <w:ilvl w:val="0"/>
          <w:numId w:val="2"/>
        </w:numPr>
        <w:spacing w:before="40" w:after="40" w:line="276"/>
      </w:pPr>
      <w:r>
        <w:rPr>
          <w:rFonts w:ascii="Arial" w:cs="Arial" w:eastAsia="Arial" w:hAnsi="Arial"/>
          <w:b/>
          <w:bCs/>
          <w:color w:val="333333"/>
          <w:sz w:val="22"/>
          <w:szCs w:val="22"/>
        </w:rPr>
        <w:t xml:space="preserve">Material Change: </w:t>
      </w:r>
      <w:r>
        <w:rPr>
          <w:rFonts w:ascii="Arial" w:cs="Arial" w:eastAsia="Arial" w:hAnsi="Arial"/>
          <w:color w:val="333333"/>
          <w:sz w:val="22"/>
          <w:szCs w:val="22"/>
        </w:rPr>
        <w:t xml:space="preserve">Alterations to use case scope, affected populations, decision consequence, or data sources that could affect risk classification. Triggers full reclassification and governance review cycle appropriate to the new or confirmed risk tier.</w:t>
      </w:r>
    </w:p>
    <w:p>
      <w:pPr>
        <w:pStyle w:val="Heading3"/>
        <w:spacing w:before="220" w:after="120"/>
      </w:pPr>
      <w:r>
        <w:rPr>
          <w:rFonts w:ascii="Arial" w:cs="Arial" w:eastAsia="Arial" w:hAnsi="Arial"/>
          <w:b/>
          <w:bCs/>
          <w:color w:val="4472C4"/>
          <w:sz w:val="24"/>
          <w:szCs w:val="24"/>
        </w:rPr>
        <w:t xml:space="preserve">VI.5.4 Model Documentation Standards (Model Cards)</w:t>
      </w:r>
    </w:p>
    <w:p>
      <w:pPr>
        <w:spacing w:before="80" w:after="80" w:line="276"/>
        <w:jc w:val="both"/>
      </w:pPr>
      <w:r>
        <w:rPr>
          <w:rFonts w:ascii="Arial" w:cs="Arial" w:eastAsia="Arial" w:hAnsi="Arial"/>
          <w:color w:val="333333"/>
          <w:sz w:val="22"/>
          <w:szCs w:val="22"/>
        </w:rPr>
        <w:t xml:space="preserve">Every production model must maintain a Model Card that provides a standardized, accessible summary of the model and its governance status. The Model Card template includes sections for model overview and intended use, training data description and limitations, performance metrics disaggregated by relevant subgroups, fairness evaluation results, known limitations and failure modes, ethical considerations and mitigation measures, maintenance schedule and responsible parties, and contact information for questions or concerns. Model Cards are reviewed and updated at each governance review cycle and made accessible to relevant stakeholders through the Model Registry.</w:t>
      </w:r>
    </w:p>
    <w:p>
      <w:r>
        <w:br w:type="page"/>
      </w:r>
    </w:p>
    <w:p>
      <w:pPr>
        <w:pStyle w:val="Heading2"/>
        <w:spacing w:before="280" w:after="160"/>
      </w:pPr>
      <w:r>
        <w:rPr>
          <w:rFonts w:ascii="Arial" w:cs="Arial" w:eastAsia="Arial" w:hAnsi="Arial"/>
          <w:b/>
          <w:bCs/>
          <w:color w:val="2E75B6"/>
          <w:sz w:val="28"/>
          <w:szCs w:val="28"/>
        </w:rPr>
        <w:t xml:space="preserve">VI.6 Data Governance for AI/ML Systems</w:t>
      </w:r>
    </w:p>
    <w:p>
      <w:pPr>
        <w:pStyle w:val="Heading3"/>
        <w:spacing w:before="220" w:after="120"/>
      </w:pPr>
      <w:r>
        <w:rPr>
          <w:rFonts w:ascii="Arial" w:cs="Arial" w:eastAsia="Arial" w:hAnsi="Arial"/>
          <w:b/>
          <w:bCs/>
          <w:color w:val="4472C4"/>
          <w:sz w:val="24"/>
          <w:szCs w:val="24"/>
        </w:rPr>
        <w:t xml:space="preserve">VI.6.1 AI Data Quality Framework</w:t>
      </w:r>
    </w:p>
    <w:p>
      <w:pPr>
        <w:spacing w:before="80" w:after="80" w:line="276"/>
        <w:jc w:val="both"/>
      </w:pPr>
      <w:r>
        <w:rPr>
          <w:rFonts w:ascii="Arial" w:cs="Arial" w:eastAsia="Arial" w:hAnsi="Arial"/>
          <w:color w:val="333333"/>
          <w:sz w:val="22"/>
          <w:szCs w:val="22"/>
        </w:rPr>
        <w:t xml:space="preserve">Data quality for AI/ML systems requires governance standards that extend beyond traditional data management. The AI Data Quality Framework addresses six dimensions with AI-specific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Traditional Focus</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AI-Specific Extension</w:t>
            </w:r>
          </w:p>
        </w:tc>
        <w:tc>
          <w:tcPr>
            <w:tcW w:type="dxa" w:w="3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Validation Method</w:t>
            </w:r>
          </w:p>
        </w:tc>
      </w:tr>
      <w:tr>
        <w:tc>
          <w:tcPr>
            <w:tcW w:type="dxa" w:w="1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Completeness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Missing value rates</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Representation across subgroups, edge case coverage</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Statistical coverage analysis, subgroup audits</w:t>
            </w:r>
          </w:p>
        </w:tc>
      </w:tr>
      <w:tr>
        <w:tc>
          <w:tcPr>
            <w:tcW w:type="dxa" w:w="1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Accuracy</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Error rates vs ground truth</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Label quality, annotation consistency, ground truth reliability</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Inter-annotator agreement, expert review</w:t>
            </w:r>
          </w:p>
        </w:tc>
      </w:tr>
      <w:tr>
        <w:tc>
          <w:tcPr>
            <w:tcW w:type="dxa" w:w="1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Consistency</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Cross-system agreement</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Temporal consistency, distributional stability, concept drift</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Distribution monitoring, drift detection</w:t>
            </w:r>
          </w:p>
        </w:tc>
      </w:tr>
      <w:tr>
        <w:tc>
          <w:tcPr>
            <w:tcW w:type="dxa" w:w="1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Timeliness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freshness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Training-serving skew, feature staleness detection</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Freshness monitoring, skew metrics</w:t>
            </w:r>
          </w:p>
        </w:tc>
      </w:tr>
      <w:tr>
        <w:tc>
          <w:tcPr>
            <w:tcW w:type="dxa" w:w="1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Relevance</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 applicability</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Feature-target correlation, information leakage prevention</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Feature importance analysis, leakage tests</w:t>
            </w:r>
          </w:p>
        </w:tc>
      </w:tr>
      <w:tr>
        <w:tc>
          <w:tcPr>
            <w:tcW w:type="dxa" w:w="1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Representativeness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Population coverage</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Demographic parity, geographic balance, temporal coverage</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Fairness metrics, coverage statistics</w:t>
            </w:r>
          </w:p>
        </w:tc>
      </w:tr>
    </w:tbl>
    <w:p>
      <w:pPr>
        <w:pStyle w:val="Heading3"/>
        <w:spacing w:before="220" w:after="120"/>
      </w:pPr>
      <w:r>
        <w:rPr>
          <w:rFonts w:ascii="Arial" w:cs="Arial" w:eastAsia="Arial" w:hAnsi="Arial"/>
          <w:b/>
          <w:bCs/>
          <w:color w:val="4472C4"/>
          <w:sz w:val="24"/>
          <w:szCs w:val="24"/>
        </w:rPr>
        <w:t xml:space="preserve">VI.6.2 Training Data Governance</w:t>
      </w:r>
    </w:p>
    <w:p>
      <w:pPr>
        <w:spacing w:before="80" w:after="80" w:line="276"/>
        <w:jc w:val="both"/>
      </w:pPr>
      <w:r>
        <w:rPr>
          <w:rFonts w:ascii="Arial" w:cs="Arial" w:eastAsia="Arial" w:hAnsi="Arial"/>
          <w:color w:val="333333"/>
          <w:sz w:val="22"/>
          <w:szCs w:val="22"/>
        </w:rPr>
        <w:t xml:space="preserve">Training data governance ensures that all data used to develop AI models meets quality, legal, and ethical standards. Requirements include comprehensive data lineage documentation from source through transformation to model input, licensing and intellectual property verification for all data sources, privacy compliance assessment including purpose limitation and consent verification, bias auditing of training datasets against protected attribute distributions, data retention and disposal policies aligned with regulatory requirements, and version control for training datasets enabling full reproducibility.</w:t>
      </w:r>
    </w:p>
    <w:p>
      <w:pPr>
        <w:pStyle w:val="Heading3"/>
        <w:spacing w:before="220" w:after="120"/>
      </w:pPr>
      <w:r>
        <w:rPr>
          <w:rFonts w:ascii="Arial" w:cs="Arial" w:eastAsia="Arial" w:hAnsi="Arial"/>
          <w:b/>
          <w:bCs/>
          <w:color w:val="4472C4"/>
          <w:sz w:val="24"/>
          <w:szCs w:val="24"/>
        </w:rPr>
        <w:t xml:space="preserve">VI.6.3 Synthetic Data Governance</w:t>
      </w:r>
    </w:p>
    <w:p>
      <w:pPr>
        <w:spacing w:before="80" w:after="80" w:line="276"/>
        <w:jc w:val="both"/>
      </w:pPr>
      <w:r>
        <w:rPr>
          <w:rFonts w:ascii="Arial" w:cs="Arial" w:eastAsia="Arial" w:hAnsi="Arial"/>
          <w:color w:val="333333"/>
          <w:sz w:val="22"/>
          <w:szCs w:val="22"/>
        </w:rPr>
        <w:t xml:space="preserve">As synthetic data becomes a standard technique for augmenting training sets, addressing privacy constraints, and balancing underrepresented classes, specific governance controls are required. Synthetic data generation must document the generation methodology, privacy guarantees achieved, and statistical fidelity to the target distribution. Validation must confirm that synthetic data does not reintroduce patterns that could enable re-identification of individuals whose data informed the generation model. Quality assurance must verify that synthetic data does not introduce artifacts that degrade model performance or amplify biases.</w:t>
      </w:r>
    </w:p>
    <w:p>
      <w:pPr>
        <w:pStyle w:val="Heading3"/>
        <w:spacing w:before="220" w:after="120"/>
      </w:pPr>
      <w:r>
        <w:rPr>
          <w:rFonts w:ascii="Arial" w:cs="Arial" w:eastAsia="Arial" w:hAnsi="Arial"/>
          <w:b/>
          <w:bCs/>
          <w:color w:val="4472C4"/>
          <w:sz w:val="24"/>
          <w:szCs w:val="24"/>
        </w:rPr>
        <w:t xml:space="preserve">VI.6.4 Feature Store Governance</w:t>
      </w:r>
    </w:p>
    <w:p>
      <w:pPr>
        <w:spacing w:before="80" w:after="80" w:line="276"/>
        <w:jc w:val="both"/>
      </w:pPr>
      <w:r>
        <w:rPr>
          <w:rFonts w:ascii="Arial" w:cs="Arial" w:eastAsia="Arial" w:hAnsi="Arial"/>
          <w:color w:val="333333"/>
          <w:sz w:val="22"/>
          <w:szCs w:val="22"/>
        </w:rPr>
        <w:t xml:space="preserve">The enterprise Feature Store provides centralized, governed access to curated features for AI/ML development. Feature Store governance ensures that every feature includes documentation of business meaning, computation logic, data sources, and freshness requirements. Access controls enforce that features containing sensitive data are only available to authorized models with appropriate justification. Feature monitoring detects drift, staleness, and quality degradation, triggering alerts and revalidation workflows. Feature deprecation follows a managed process that identifies dependent models, provides migration paths, and maintains backward compatibility during transition periods.</w:t>
      </w:r>
    </w:p>
    <w:p>
      <w:r>
        <w:br w:type="page"/>
      </w:r>
    </w:p>
    <w:p>
      <w:pPr>
        <w:pStyle w:val="Heading2"/>
        <w:spacing w:before="280" w:after="160"/>
      </w:pPr>
      <w:r>
        <w:rPr>
          <w:rFonts w:ascii="Arial" w:cs="Arial" w:eastAsia="Arial" w:hAnsi="Arial"/>
          <w:b/>
          <w:bCs/>
          <w:color w:val="2E75B6"/>
          <w:sz w:val="28"/>
          <w:szCs w:val="28"/>
        </w:rPr>
        <w:t xml:space="preserve">VI.7 AI Transparency, Explainability, and Auditability</w:t>
      </w:r>
    </w:p>
    <w:p>
      <w:pPr>
        <w:pStyle w:val="Heading3"/>
        <w:spacing w:before="220" w:after="120"/>
      </w:pPr>
      <w:r>
        <w:rPr>
          <w:rFonts w:ascii="Arial" w:cs="Arial" w:eastAsia="Arial" w:hAnsi="Arial"/>
          <w:b/>
          <w:bCs/>
          <w:color w:val="4472C4"/>
          <w:sz w:val="24"/>
          <w:szCs w:val="24"/>
        </w:rPr>
        <w:t xml:space="preserve">VI.7.1 Explainability Requirements by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80"/>
        <w:gridCol w:w="168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Critical Tier</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 Tier</w:t>
            </w:r>
          </w:p>
        </w:tc>
        <w:tc>
          <w:tcPr>
            <w:tcW w:type="dxa" w:w="16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Medium Tier</w:t>
            </w:r>
          </w:p>
        </w:tc>
        <w:tc>
          <w:tcPr>
            <w:tcW w:type="dxa" w:w="168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Low Tier</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Individual Explanations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for every decision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on request</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Best effort</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Not required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Global Model Explanations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externally audited</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internally reviewed</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Recommended</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Feature Importance</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Full SHAP/LIME analysis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Top-10 feature analysis</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Summary statistics</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Documentation only</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Decision Audit Trail</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immutable log</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log</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Sampled log</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Error log only</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Counterfactual Analysis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for adverse decisions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Required for appeals</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Optional</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Not required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Stakeholder Communication</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Plain-language explanation</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Technical + summary</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Technical documentation</w:t>
            </w:r>
          </w:p>
        </w:tc>
        <w:tc>
          <w:tcPr>
            <w:tcW w:type="dxa" w:w="168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Internal documentation</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External Audit</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Annual third-party audit</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Biennial audit</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Internal audit</w:t>
            </w:r>
          </w:p>
        </w:tc>
        <w:tc>
          <w:tcPr>
            <w:tcW w:type="dxa" w:w="168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Self-assessment</w:t>
            </w:r>
          </w:p>
        </w:tc>
      </w:tr>
    </w:tbl>
    <w:p>
      <w:pPr>
        <w:pStyle w:val="Heading3"/>
        <w:spacing w:before="220" w:after="120"/>
      </w:pPr>
      <w:r>
        <w:rPr>
          <w:rFonts w:ascii="Arial" w:cs="Arial" w:eastAsia="Arial" w:hAnsi="Arial"/>
          <w:b/>
          <w:bCs/>
          <w:color w:val="4472C4"/>
          <w:sz w:val="24"/>
          <w:szCs w:val="24"/>
        </w:rPr>
        <w:t xml:space="preserve">VI.7.2 Explainability Techniques and Standards</w:t>
      </w:r>
    </w:p>
    <w:p>
      <w:pPr>
        <w:spacing w:before="80" w:after="80" w:line="276"/>
        <w:jc w:val="both"/>
      </w:pPr>
      <w:r>
        <w:rPr>
          <w:rFonts w:ascii="Arial" w:cs="Arial" w:eastAsia="Arial" w:hAnsi="Arial"/>
          <w:color w:val="333333"/>
          <w:sz w:val="22"/>
          <w:szCs w:val="22"/>
        </w:rPr>
        <w:t xml:space="preserve">The framework mandates the use of established explainability techniques appropriate to the model type and risk tier. For tabular models, SHAP values provide global and local feature importance with theoretical guarantees. For text-based models, attention visualization, input attribution methods, and natural language rationale generation provide decision transparency. For image-based models, gradient-weighted class activation mapping and concept-based explanations provide visual interpretation. For ensemble and complex models, surrogate model approximation provides interpretable representations of black-box behavior.</w:t>
      </w:r>
    </w:p>
    <w:p>
      <w:pPr>
        <w:spacing w:before="80" w:after="80" w:line="276"/>
        <w:jc w:val="both"/>
      </w:pPr>
      <w:r>
        <w:rPr>
          <w:rFonts w:ascii="Arial" w:cs="Arial" w:eastAsia="Arial" w:hAnsi="Arial"/>
          <w:color w:val="333333"/>
          <w:sz w:val="22"/>
          <w:szCs w:val="22"/>
        </w:rPr>
        <w:t xml:space="preserve">All explainability implementations must be validated to confirm that explanations accurately reflect the model decision process rather than providing plausible but misleading rationales. Fidelity testing compares explanation outputs against controlled perturbation experiments to verify alignment.</w:t>
      </w:r>
    </w:p>
    <w:p>
      <w:pPr>
        <w:pStyle w:val="Heading3"/>
        <w:spacing w:before="220" w:after="120"/>
      </w:pPr>
      <w:r>
        <w:rPr>
          <w:rFonts w:ascii="Arial" w:cs="Arial" w:eastAsia="Arial" w:hAnsi="Arial"/>
          <w:b/>
          <w:bCs/>
          <w:color w:val="4472C4"/>
          <w:sz w:val="24"/>
          <w:szCs w:val="24"/>
        </w:rPr>
        <w:t xml:space="preserve">VI.7.3 Audit Trail Architecture</w:t>
      </w:r>
    </w:p>
    <w:p>
      <w:pPr>
        <w:spacing w:before="80" w:after="80" w:line="276"/>
        <w:jc w:val="both"/>
      </w:pPr>
      <w:r>
        <w:rPr>
          <w:rFonts w:ascii="Arial" w:cs="Arial" w:eastAsia="Arial" w:hAnsi="Arial"/>
          <w:color w:val="333333"/>
          <w:sz w:val="22"/>
          <w:szCs w:val="22"/>
        </w:rPr>
        <w:t xml:space="preserve">The AI audit trail system captures comprehensive records of AI system behavior for regulatory compliance, dispute resolution, and continuous improvement. The architecture implements three tiers of logging:</w:t>
      </w:r>
    </w:p>
    <w:p>
      <w:pPr>
        <w:pStyle w:val="ListParagraph"/>
        <w:numPr>
          <w:ilvl w:val="0"/>
          <w:numId w:val="2"/>
        </w:numPr>
        <w:spacing w:before="40" w:after="40" w:line="276"/>
      </w:pPr>
      <w:r>
        <w:rPr>
          <w:rFonts w:ascii="Arial" w:cs="Arial" w:eastAsia="Arial" w:hAnsi="Arial"/>
          <w:b/>
          <w:bCs/>
          <w:color w:val="333333"/>
          <w:sz w:val="22"/>
          <w:szCs w:val="22"/>
        </w:rPr>
        <w:t xml:space="preserve">Decision Log: </w:t>
      </w:r>
      <w:r>
        <w:rPr>
          <w:rFonts w:ascii="Arial" w:cs="Arial" w:eastAsia="Arial" w:hAnsi="Arial"/>
          <w:color w:val="333333"/>
          <w:sz w:val="22"/>
          <w:szCs w:val="22"/>
        </w:rPr>
        <w:t xml:space="preserve">Records every consequential AI output including input features, model version, confidence score, output decision, explanation summary, and any human override actions. Retained for the longer of regulatory requirements or seven years.</w:t>
      </w:r>
    </w:p>
    <w:p>
      <w:pPr>
        <w:pStyle w:val="ListParagraph"/>
        <w:numPr>
          <w:ilvl w:val="0"/>
          <w:numId w:val="2"/>
        </w:numPr>
        <w:spacing w:before="40" w:after="40" w:line="276"/>
      </w:pPr>
      <w:r>
        <w:rPr>
          <w:rFonts w:ascii="Arial" w:cs="Arial" w:eastAsia="Arial" w:hAnsi="Arial"/>
          <w:b/>
          <w:bCs/>
          <w:color w:val="333333"/>
          <w:sz w:val="22"/>
          <w:szCs w:val="22"/>
        </w:rPr>
        <w:t xml:space="preserve">Training Log: </w:t>
      </w:r>
      <w:r>
        <w:rPr>
          <w:rFonts w:ascii="Arial" w:cs="Arial" w:eastAsia="Arial" w:hAnsi="Arial"/>
          <w:color w:val="333333"/>
          <w:sz w:val="22"/>
          <w:szCs w:val="22"/>
        </w:rPr>
        <w:t xml:space="preserve">Documents all model training runs including data snapshots, hyperparameters, training metrics, validation results, and the identity of individuals who approved the model for production. Retained for the life of the model plus five years.</w:t>
      </w:r>
    </w:p>
    <w:p>
      <w:pPr>
        <w:pStyle w:val="ListParagraph"/>
        <w:numPr>
          <w:ilvl w:val="0"/>
          <w:numId w:val="2"/>
        </w:numPr>
        <w:spacing w:before="40" w:after="40" w:line="276"/>
      </w:pPr>
      <w:r>
        <w:rPr>
          <w:rFonts w:ascii="Arial" w:cs="Arial" w:eastAsia="Arial" w:hAnsi="Arial"/>
          <w:b/>
          <w:bCs/>
          <w:color w:val="333333"/>
          <w:sz w:val="22"/>
          <w:szCs w:val="22"/>
        </w:rPr>
        <w:t xml:space="preserve">Governance Log: </w:t>
      </w:r>
      <w:r>
        <w:rPr>
          <w:rFonts w:ascii="Arial" w:cs="Arial" w:eastAsia="Arial" w:hAnsi="Arial"/>
          <w:color w:val="333333"/>
          <w:sz w:val="22"/>
          <w:szCs w:val="22"/>
        </w:rPr>
        <w:t xml:space="preserve">Captures all governance activities including risk assessments, ethical reviews, approval decisions, monitoring alerts, and incident reports. Retained for ten years.</w:t>
      </w:r>
    </w:p>
    <w:p>
      <w:pPr>
        <w:spacing w:before="80" w:after="80" w:line="276"/>
        <w:jc w:val="both"/>
      </w:pPr>
      <w:r>
        <w:rPr>
          <w:rFonts w:ascii="Arial" w:cs="Arial" w:eastAsia="Arial" w:hAnsi="Arial"/>
          <w:color w:val="333333"/>
          <w:sz w:val="22"/>
          <w:szCs w:val="22"/>
        </w:rPr>
        <w:t xml:space="preserve">All audit logs are stored in tamper-evident, append-only storage with cryptographic integrity verification. Access to audit logs is restricted to governance, compliance, and authorized audit personnel.</w:t>
      </w:r>
    </w:p>
    <w:p>
      <w:r>
        <w:br w:type="page"/>
      </w:r>
    </w:p>
    <w:p>
      <w:pPr>
        <w:pStyle w:val="Heading2"/>
        <w:spacing w:before="280" w:after="160"/>
      </w:pPr>
      <w:r>
        <w:rPr>
          <w:rFonts w:ascii="Arial" w:cs="Arial" w:eastAsia="Arial" w:hAnsi="Arial"/>
          <w:b/>
          <w:bCs/>
          <w:color w:val="2E75B6"/>
          <w:sz w:val="28"/>
          <w:szCs w:val="28"/>
        </w:rPr>
        <w:t xml:space="preserve">VI.8 Bias Detection, Fairness, and Equity Framework</w:t>
      </w:r>
    </w:p>
    <w:p>
      <w:pPr>
        <w:pStyle w:val="Heading3"/>
        <w:spacing w:before="220" w:after="120"/>
      </w:pPr>
      <w:r>
        <w:rPr>
          <w:rFonts w:ascii="Arial" w:cs="Arial" w:eastAsia="Arial" w:hAnsi="Arial"/>
          <w:b/>
          <w:bCs/>
          <w:color w:val="4472C4"/>
          <w:sz w:val="24"/>
          <w:szCs w:val="24"/>
        </w:rPr>
        <w:t xml:space="preserve">VI.8.1 Fairness Metrics Framework</w:t>
      </w:r>
    </w:p>
    <w:p>
      <w:pPr>
        <w:spacing w:before="80" w:after="80" w:line="276"/>
        <w:jc w:val="both"/>
      </w:pPr>
      <w:r>
        <w:rPr>
          <w:rFonts w:ascii="Arial" w:cs="Arial" w:eastAsia="Arial" w:hAnsi="Arial"/>
          <w:color w:val="333333"/>
          <w:sz w:val="22"/>
          <w:szCs w:val="22"/>
        </w:rPr>
        <w:t xml:space="preserve">Recognizing that no single metric can capture all dimensions of fairness, the framework requires evaluation against multiple fairness metrics appropriate to the use case. The selection of applicable metrics is documented during problem formulation and validated by the AI Ethics Committee for high-risk and critical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Fairness Metric</w:t>
            </w:r>
          </w:p>
        </w:tc>
        <w:tc>
          <w:tcPr>
            <w:tcW w:type="dxa" w:w="2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Applicable Use Cases</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Threshold</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Demographic Parity</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Equal positive outcome rates across groups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Marketing, access decisions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10% disparity</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Equalized Odds</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Equal true positive and false positive rates</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Lending, hiring, criminal justice</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disparity</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Predictive Parity</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Equal precision across groups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 scoring, medical diagnosis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disparity</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Individual Fairness</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Similar individuals receive similar outcomes</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Personalization, pricing</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Context-dependent</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Counterfactual Fairness</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Outcome unchanged if protected attribute changed</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Any high-stakes decision</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Statistical test p &lt; 0.05</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Calibration</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Predicted probabilities match observed frequencies per group</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Probabilistic predictions</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deviation</w:t>
            </w:r>
          </w:p>
        </w:tc>
      </w:tr>
    </w:tbl>
    <w:p>
      <w:pPr>
        <w:pStyle w:val="Heading3"/>
        <w:spacing w:before="220" w:after="120"/>
      </w:pPr>
      <w:r>
        <w:rPr>
          <w:rFonts w:ascii="Arial" w:cs="Arial" w:eastAsia="Arial" w:hAnsi="Arial"/>
          <w:b/>
          <w:bCs/>
          <w:color w:val="4472C4"/>
          <w:sz w:val="24"/>
          <w:szCs w:val="24"/>
        </w:rPr>
        <w:t xml:space="preserve">VI.8.2 Bias Detection Pipeline</w:t>
      </w:r>
    </w:p>
    <w:p>
      <w:pPr>
        <w:spacing w:before="80" w:after="80" w:line="276"/>
        <w:jc w:val="both"/>
      </w:pPr>
      <w:r>
        <w:rPr>
          <w:rFonts w:ascii="Arial" w:cs="Arial" w:eastAsia="Arial" w:hAnsi="Arial"/>
          <w:color w:val="333333"/>
          <w:sz w:val="22"/>
          <w:szCs w:val="22"/>
        </w:rPr>
        <w:t xml:space="preserve">The bias detection pipeline operates continuously across the model lifecycle. During data collection, statistical analysis evaluates representation across protected groups and historical bias in outcome labels. During model development, fairness metrics are computed on validation sets disaggregated by protected attributes. Pre-deployment validation includes adversarial testing for disparate impact and intersectional bias analysis that examines outcomes for combinations of protected attributes. Post-deployment monitoring continuously tracks fairness metrics on production data, with automated alerts when metrics exceed defined thresholds.</w:t>
      </w:r>
    </w:p>
    <w:p>
      <w:pPr>
        <w:pStyle w:val="Heading3"/>
        <w:spacing w:before="220" w:after="120"/>
      </w:pPr>
      <w:r>
        <w:rPr>
          <w:rFonts w:ascii="Arial" w:cs="Arial" w:eastAsia="Arial" w:hAnsi="Arial"/>
          <w:b/>
          <w:bCs/>
          <w:color w:val="4472C4"/>
          <w:sz w:val="24"/>
          <w:szCs w:val="24"/>
        </w:rPr>
        <w:t xml:space="preserve">VI.8.3 Bias Mitigation Strategies</w:t>
      </w:r>
    </w:p>
    <w:p>
      <w:pPr>
        <w:spacing w:before="80" w:after="80" w:line="276"/>
        <w:jc w:val="both"/>
      </w:pPr>
      <w:r>
        <w:rPr>
          <w:rFonts w:ascii="Arial" w:cs="Arial" w:eastAsia="Arial" w:hAnsi="Arial"/>
          <w:color w:val="333333"/>
          <w:sz w:val="22"/>
          <w:szCs w:val="22"/>
        </w:rPr>
        <w:t xml:space="preserve">The framework defines three categories of bias mitigation corresponding to lifecycle stages:</w:t>
      </w:r>
    </w:p>
    <w:p>
      <w:pPr>
        <w:pStyle w:val="ListParagraph"/>
        <w:numPr>
          <w:ilvl w:val="0"/>
          <w:numId w:val="2"/>
        </w:numPr>
        <w:spacing w:before="40" w:after="40" w:line="276"/>
      </w:pPr>
      <w:r>
        <w:rPr>
          <w:rFonts w:ascii="Arial" w:cs="Arial" w:eastAsia="Arial" w:hAnsi="Arial"/>
          <w:b/>
          <w:bCs/>
          <w:color w:val="333333"/>
          <w:sz w:val="22"/>
          <w:szCs w:val="22"/>
        </w:rPr>
        <w:t xml:space="preserve">Pre-Processing Techniques: </w:t>
      </w:r>
      <w:r>
        <w:rPr>
          <w:rFonts w:ascii="Arial" w:cs="Arial" w:eastAsia="Arial" w:hAnsi="Arial"/>
          <w:color w:val="333333"/>
          <w:sz w:val="22"/>
          <w:szCs w:val="22"/>
        </w:rPr>
        <w:t xml:space="preserve">Data rebalancing, reweighting, and fair representation learning that address bias in training data before model development. These techniques are preferred when bias originates from historical data imbalances.</w:t>
      </w:r>
    </w:p>
    <w:p>
      <w:pPr>
        <w:pStyle w:val="ListParagraph"/>
        <w:numPr>
          <w:ilvl w:val="0"/>
          <w:numId w:val="2"/>
        </w:numPr>
        <w:spacing w:before="40" w:after="40" w:line="276"/>
      </w:pPr>
      <w:r>
        <w:rPr>
          <w:rFonts w:ascii="Arial" w:cs="Arial" w:eastAsia="Arial" w:hAnsi="Arial"/>
          <w:b/>
          <w:bCs/>
          <w:color w:val="333333"/>
          <w:sz w:val="22"/>
          <w:szCs w:val="22"/>
        </w:rPr>
        <w:t xml:space="preserve">In-Processing Techniques: </w:t>
      </w:r>
      <w:r>
        <w:rPr>
          <w:rFonts w:ascii="Arial" w:cs="Arial" w:eastAsia="Arial" w:hAnsi="Arial"/>
          <w:color w:val="333333"/>
          <w:sz w:val="22"/>
          <w:szCs w:val="22"/>
        </w:rPr>
        <w:t xml:space="preserve">Fairness-constrained optimization, adversarial debiasing, and regularization approaches that incorporate fairness objectives directly into the model training process. These are applied when pre-processing alone is insufficient.</w:t>
      </w:r>
    </w:p>
    <w:p>
      <w:pPr>
        <w:pStyle w:val="ListParagraph"/>
        <w:numPr>
          <w:ilvl w:val="0"/>
          <w:numId w:val="2"/>
        </w:numPr>
        <w:spacing w:before="40" w:after="40" w:line="276"/>
      </w:pPr>
      <w:r>
        <w:rPr>
          <w:rFonts w:ascii="Arial" w:cs="Arial" w:eastAsia="Arial" w:hAnsi="Arial"/>
          <w:b/>
          <w:bCs/>
          <w:color w:val="333333"/>
          <w:sz w:val="22"/>
          <w:szCs w:val="22"/>
        </w:rPr>
        <w:t xml:space="preserve">Post-Processing Techniques: </w:t>
      </w:r>
      <w:r>
        <w:rPr>
          <w:rFonts w:ascii="Arial" w:cs="Arial" w:eastAsia="Arial" w:hAnsi="Arial"/>
          <w:color w:val="333333"/>
          <w:sz w:val="22"/>
          <w:szCs w:val="22"/>
        </w:rPr>
        <w:t xml:space="preserve">Threshold calibration, equalized odds post-processing, and reject option classification that adjust model outputs to satisfy fairness constraints. These are used when model modification is not feasible or when fine-tuning deployed models.</w:t>
      </w:r>
    </w:p>
    <w:p>
      <w:pPr>
        <w:spacing w:before="80" w:after="80" w:line="276"/>
        <w:jc w:val="both"/>
      </w:pPr>
      <w:r>
        <w:rPr>
          <w:rFonts w:ascii="Arial" w:cs="Arial" w:eastAsia="Arial" w:hAnsi="Arial"/>
          <w:color w:val="333333"/>
          <w:sz w:val="22"/>
          <w:szCs w:val="22"/>
        </w:rPr>
        <w:t xml:space="preserve">The selection of mitigation strategies is documented with clear justification, and the effectiveness of applied mitigations is validated through repeated fairness evaluation. Mitigation decisions are reviewed by the AI Ethics Committee for high-risk and critical systems.</w:t>
      </w:r>
    </w:p>
    <w:p>
      <w:pPr>
        <w:pStyle w:val="Heading3"/>
        <w:spacing w:before="220" w:after="120"/>
      </w:pPr>
      <w:r>
        <w:rPr>
          <w:rFonts w:ascii="Arial" w:cs="Arial" w:eastAsia="Arial" w:hAnsi="Arial"/>
          <w:b/>
          <w:bCs/>
          <w:color w:val="4472C4"/>
          <w:sz w:val="24"/>
          <w:szCs w:val="24"/>
        </w:rPr>
        <w:t xml:space="preserve">VI.8.4 Intersectional Fairness Analysis</w:t>
      </w:r>
    </w:p>
    <w:p>
      <w:pPr>
        <w:spacing w:before="80" w:after="80" w:line="276"/>
        <w:jc w:val="both"/>
      </w:pPr>
      <w:r>
        <w:rPr>
          <w:rFonts w:ascii="Arial" w:cs="Arial" w:eastAsia="Arial" w:hAnsi="Arial"/>
          <w:color w:val="333333"/>
          <w:sz w:val="22"/>
          <w:szCs w:val="22"/>
        </w:rPr>
        <w:t xml:space="preserve">The framework requires intersectional analysis that examines fairness metrics across combinations of protected attributes, not merely individual attributes in isolation. For critical and high-risk systems, the analysis must cover all two-way intersections of protected attributes with sufficient sample sizes, identify subgroups that experience disproportionate adverse outcomes, document mitigation strategies specifically targeting intersectional disparities, and report disaggregated performance metrics in Model Cards and governance reviews.</w:t>
      </w:r>
    </w:p>
    <w:p>
      <w:r>
        <w:br w:type="page"/>
      </w:r>
    </w:p>
    <w:p>
      <w:pPr>
        <w:pStyle w:val="Heading2"/>
        <w:spacing w:before="280" w:after="160"/>
      </w:pPr>
      <w:r>
        <w:rPr>
          <w:rFonts w:ascii="Arial" w:cs="Arial" w:eastAsia="Arial" w:hAnsi="Arial"/>
          <w:b/>
          <w:bCs/>
          <w:color w:val="2E75B6"/>
          <w:sz w:val="28"/>
          <w:szCs w:val="28"/>
        </w:rPr>
        <w:t xml:space="preserve">VI.9 AI Regulatory Compliance and Standards Alignment</w:t>
      </w:r>
    </w:p>
    <w:p>
      <w:pPr>
        <w:pStyle w:val="Heading3"/>
        <w:spacing w:before="220" w:after="120"/>
      </w:pPr>
      <w:r>
        <w:rPr>
          <w:rFonts w:ascii="Arial" w:cs="Arial" w:eastAsia="Arial" w:hAnsi="Arial"/>
          <w:b/>
          <w:bCs/>
          <w:color w:val="4472C4"/>
          <w:sz w:val="24"/>
          <w:szCs w:val="24"/>
        </w:rPr>
        <w:t xml:space="preserve">VI.9.1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160"/>
        <w:gridCol w:w="24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Regulation/Standard</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Jurisdiction</w:t>
            </w:r>
          </w:p>
        </w:tc>
        <w:tc>
          <w:tcPr>
            <w:tcW w:type="dxa" w:w="3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Requirements</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Applicability</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EU AI Act</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European Union</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 classification, conformity assessment, transparency obligations, prohibited practices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AI systems serving EU markets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NIST AI RMF</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United States</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Govern, Map, Measure, Manage lifecycle, trustworthiness characteristics</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Federal and voluntary adoption</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State Algorithmic Laws</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 States (CO, IL, CT, TX)</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Automated decision impact assessments, consumer notification, opt-out rights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State-specific applicability</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GDPR Art. 22</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European Union</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Right not to be subject to solely automated decisions, right to explanation</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Systems processing EU personal data</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ISO/IEC 42001</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International</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management system requirements, risk management, responsible AI</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Voluntary certification</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OECD AI Principles</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International</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Inclusive growth, human-centered values, transparency, robustness, accountability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Policy framework guidance</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IEEE 7000 Series</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International</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Ethical design processes, algorithmic bias, transparency, data privacy</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Technical standards guidance</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Sector-Specific (HIPAA, ECOA, FCRA)</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United States</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Healthcare AI, fair lending, consumer reporting AI requirements</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Industry-specific applicability</w:t>
            </w:r>
          </w:p>
        </w:tc>
      </w:tr>
    </w:tbl>
    <w:p>
      <w:pPr>
        <w:pStyle w:val="Heading3"/>
        <w:spacing w:before="220" w:after="120"/>
      </w:pPr>
      <w:r>
        <w:rPr>
          <w:rFonts w:ascii="Arial" w:cs="Arial" w:eastAsia="Arial" w:hAnsi="Arial"/>
          <w:b/>
          <w:bCs/>
          <w:color w:val="4472C4"/>
          <w:sz w:val="24"/>
          <w:szCs w:val="24"/>
        </w:rPr>
        <w:t xml:space="preserve">VI.9.2 Compliance Automation Architecture</w:t>
      </w:r>
    </w:p>
    <w:p>
      <w:pPr>
        <w:spacing w:before="80" w:after="80" w:line="276"/>
        <w:jc w:val="both"/>
      </w:pPr>
      <w:r>
        <w:rPr>
          <w:rFonts w:ascii="Arial" w:cs="Arial" w:eastAsia="Arial" w:hAnsi="Arial"/>
          <w:color w:val="333333"/>
          <w:sz w:val="22"/>
          <w:szCs w:val="22"/>
        </w:rPr>
        <w:t xml:space="preserve">The AI Compliance Automation system maps governance controls to regulatory requirements, automates evidence collection, and generates compliance artifacts. The architecture includes a regulatory requirements repository that maintains a structured, machine-readable catalog of AI-specific obligations across all applicable jurisdictions. Control mapping links internal governance controls to specific regulatory requirements, identifying coverage and gaps. Automated evidence collection continuously gathers compliance artifacts from the model registry, monitoring systems, audit trails, and governance workflows. Compliance dashboards provide real-time visibility into compliance posture by regulation, risk tier, and organizational unit.</w:t>
      </w:r>
    </w:p>
    <w:p>
      <w:pPr>
        <w:pStyle w:val="Heading3"/>
        <w:spacing w:before="220" w:after="120"/>
      </w:pPr>
      <w:r>
        <w:rPr>
          <w:rFonts w:ascii="Arial" w:cs="Arial" w:eastAsia="Arial" w:hAnsi="Arial"/>
          <w:b/>
          <w:bCs/>
          <w:color w:val="4472C4"/>
          <w:sz w:val="24"/>
          <w:szCs w:val="24"/>
        </w:rPr>
        <w:t xml:space="preserve">VI.9.3 EU AI Act Alignment</w:t>
      </w:r>
    </w:p>
    <w:p>
      <w:pPr>
        <w:spacing w:before="80" w:after="80" w:line="276"/>
        <w:jc w:val="both"/>
      </w:pPr>
      <w:r>
        <w:rPr>
          <w:rFonts w:ascii="Arial" w:cs="Arial" w:eastAsia="Arial" w:hAnsi="Arial"/>
          <w:color w:val="333333"/>
          <w:sz w:val="22"/>
          <w:szCs w:val="22"/>
        </w:rPr>
        <w:t xml:space="preserve">For AI systems that fall within the scope of the EU AI Act, the framework implements the following compliance measures: prohibited practice screening during AI initiative intake to identify and block systems that fall within the Act prohibition categories, conformity assessment procedures for high-risk AI systems aligned with the Annex requirements, technical documentation generation conforming to Article 11 requirements, quality management system integration per Article 17, post-market monitoring aligned with Article 72, and incident reporting procedures meeting the serious incident notification requirements. The AI CoE maintains a current mapping between the EU AI Act requirements and internal governance controls, updated quarterly or within thirty days of regulatory guidance changes.</w:t>
      </w:r>
    </w:p>
    <w:p>
      <w:r>
        <w:br w:type="page"/>
      </w:r>
    </w:p>
    <w:p>
      <w:pPr>
        <w:pStyle w:val="Heading2"/>
        <w:spacing w:before="280" w:after="160"/>
      </w:pPr>
      <w:r>
        <w:rPr>
          <w:rFonts w:ascii="Arial" w:cs="Arial" w:eastAsia="Arial" w:hAnsi="Arial"/>
          <w:b/>
          <w:bCs/>
          <w:color w:val="2E75B6"/>
          <w:sz w:val="28"/>
          <w:szCs w:val="28"/>
        </w:rPr>
        <w:t xml:space="preserve">VI.10 AI Incident Management and Model Drift Governance</w:t>
      </w:r>
    </w:p>
    <w:p>
      <w:pPr>
        <w:pStyle w:val="Heading3"/>
        <w:spacing w:before="220" w:after="120"/>
      </w:pPr>
      <w:r>
        <w:rPr>
          <w:rFonts w:ascii="Arial" w:cs="Arial" w:eastAsia="Arial" w:hAnsi="Arial"/>
          <w:b/>
          <w:bCs/>
          <w:color w:val="4472C4"/>
          <w:sz w:val="24"/>
          <w:szCs w:val="24"/>
        </w:rPr>
        <w:t xml:space="preserve">VI.10.1 AI-Specific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60"/>
        <w:gridCol w:w="1200"/>
        <w:gridCol w:w="2000"/>
      </w:tblGrid>
      <w:tr>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Response SLA</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Escalation</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P1 - Critical</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causing active harm or regulatory violation</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Discriminatory lending decisions, safety system failure, data breach via AI</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 minutes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Gov Board + Legal</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P2 - High</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producing materially incorrect outputs affecting decisions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Fraud model missing significant fraud, incorrect medical recommendations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hour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CoE + Ethics Committee</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P3 - Medium</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performance degradation below SLO thresholds</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drift reducing accuracy, increased error rates, latency spikes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hours</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CoE + Model Owner</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P4 - Low</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Minor AI anomalies not affecting decisions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Edge case misclassification, non-critical feature degradation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24 hours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Owner</w:t>
            </w:r>
          </w:p>
        </w:tc>
      </w:tr>
    </w:tbl>
    <w:p>
      <w:pPr>
        <w:pStyle w:val="Heading3"/>
        <w:spacing w:before="220" w:after="120"/>
      </w:pPr>
      <w:r>
        <w:rPr>
          <w:rFonts w:ascii="Arial" w:cs="Arial" w:eastAsia="Arial" w:hAnsi="Arial"/>
          <w:b/>
          <w:bCs/>
          <w:color w:val="4472C4"/>
          <w:sz w:val="24"/>
          <w:szCs w:val="24"/>
        </w:rPr>
        <w:t xml:space="preserve">VI.10.2 Model Drift Detection and Response</w:t>
      </w:r>
    </w:p>
    <w:p>
      <w:pPr>
        <w:spacing w:before="80" w:after="80" w:line="276"/>
        <w:jc w:val="both"/>
      </w:pPr>
      <w:r>
        <w:rPr>
          <w:rFonts w:ascii="Arial" w:cs="Arial" w:eastAsia="Arial" w:hAnsi="Arial"/>
          <w:color w:val="333333"/>
          <w:sz w:val="22"/>
          <w:szCs w:val="22"/>
        </w:rPr>
        <w:t xml:space="preserve">Model drift governance addresses the inevitable degradation of AI model performance as the statistical properties of production data diverge from training data. The framework implements three categories of drift monitoring:</w:t>
      </w:r>
    </w:p>
    <w:p>
      <w:pPr>
        <w:pStyle w:val="ListParagraph"/>
        <w:numPr>
          <w:ilvl w:val="0"/>
          <w:numId w:val="2"/>
        </w:numPr>
        <w:spacing w:before="40" w:after="40" w:line="276"/>
      </w:pPr>
      <w:r>
        <w:rPr>
          <w:rFonts w:ascii="Arial" w:cs="Arial" w:eastAsia="Arial" w:hAnsi="Arial"/>
          <w:b/>
          <w:bCs/>
          <w:color w:val="333333"/>
          <w:sz w:val="22"/>
          <w:szCs w:val="22"/>
        </w:rPr>
        <w:t xml:space="preserve">Data Drift: </w:t>
      </w:r>
      <w:r>
        <w:rPr>
          <w:rFonts w:ascii="Arial" w:cs="Arial" w:eastAsia="Arial" w:hAnsi="Arial"/>
          <w:color w:val="333333"/>
          <w:sz w:val="22"/>
          <w:szCs w:val="22"/>
        </w:rPr>
        <w:t xml:space="preserve">Statistical monitoring of input feature distributions using techniques such as Kolmogorov-Smirnov tests, Population Stability Index, and Jensen-Shannon divergence. Alerts trigger when distribution shifts exceed predefined thresholds calibrated by feature importance.</w:t>
      </w:r>
    </w:p>
    <w:p>
      <w:pPr>
        <w:pStyle w:val="ListParagraph"/>
        <w:numPr>
          <w:ilvl w:val="0"/>
          <w:numId w:val="2"/>
        </w:numPr>
        <w:spacing w:before="40" w:after="40" w:line="276"/>
      </w:pPr>
      <w:r>
        <w:rPr>
          <w:rFonts w:ascii="Arial" w:cs="Arial" w:eastAsia="Arial" w:hAnsi="Arial"/>
          <w:b/>
          <w:bCs/>
          <w:color w:val="333333"/>
          <w:sz w:val="22"/>
          <w:szCs w:val="22"/>
        </w:rPr>
        <w:t xml:space="preserve">Concept Drift: </w:t>
      </w:r>
      <w:r>
        <w:rPr>
          <w:rFonts w:ascii="Arial" w:cs="Arial" w:eastAsia="Arial" w:hAnsi="Arial"/>
          <w:color w:val="333333"/>
          <w:sz w:val="22"/>
          <w:szCs w:val="22"/>
        </w:rPr>
        <w:t xml:space="preserve">Monitoring of the relationship between input features and target variables using prediction distribution analysis, performance metric trending, and label comparison where ground truth is available. Detection methods include windowed statistical tests and sequential change point detection.</w:t>
      </w:r>
    </w:p>
    <w:p>
      <w:pPr>
        <w:pStyle w:val="ListParagraph"/>
        <w:numPr>
          <w:ilvl w:val="0"/>
          <w:numId w:val="2"/>
        </w:numPr>
        <w:spacing w:before="40" w:after="40" w:line="276"/>
      </w:pPr>
      <w:r>
        <w:rPr>
          <w:rFonts w:ascii="Arial" w:cs="Arial" w:eastAsia="Arial" w:hAnsi="Arial"/>
          <w:b/>
          <w:bCs/>
          <w:color w:val="333333"/>
          <w:sz w:val="22"/>
          <w:szCs w:val="22"/>
        </w:rPr>
        <w:t xml:space="preserve">Model Performance Drift: </w:t>
      </w:r>
      <w:r>
        <w:rPr>
          <w:rFonts w:ascii="Arial" w:cs="Arial" w:eastAsia="Arial" w:hAnsi="Arial"/>
          <w:color w:val="333333"/>
          <w:sz w:val="22"/>
          <w:szCs w:val="22"/>
        </w:rPr>
        <w:t xml:space="preserve">Direct monitoring of model performance metrics including accuracy, precision, recall, calibration, and fairness metrics against baseline thresholds. Performance drift is the most directly actionable signal but may lag behind data and concept drift.</w:t>
      </w:r>
    </w:p>
    <w:p>
      <w:pPr>
        <w:pStyle w:val="Heading3"/>
        <w:spacing w:before="220" w:after="120"/>
      </w:pPr>
      <w:r>
        <w:rPr>
          <w:rFonts w:ascii="Arial" w:cs="Arial" w:eastAsia="Arial" w:hAnsi="Arial"/>
          <w:b/>
          <w:bCs/>
          <w:color w:val="4472C4"/>
          <w:sz w:val="24"/>
          <w:szCs w:val="24"/>
        </w:rPr>
        <w:t xml:space="preserve">VI.10.3 Automated Remediation Protocols</w:t>
      </w:r>
    </w:p>
    <w:p>
      <w:pPr>
        <w:spacing w:before="80" w:after="80" w:line="276"/>
        <w:jc w:val="both"/>
      </w:pPr>
      <w:r>
        <w:rPr>
          <w:rFonts w:ascii="Arial" w:cs="Arial" w:eastAsia="Arial" w:hAnsi="Arial"/>
          <w:color w:val="333333"/>
          <w:sz w:val="22"/>
          <w:szCs w:val="22"/>
        </w:rPr>
        <w:t xml:space="preserve">The drift response framework defines graduated remediation actions based on drift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Drift Level</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Signal</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Automated Response</w:t>
            </w:r>
          </w:p>
        </w:tc>
        <w:tc>
          <w:tcPr>
            <w:tcW w:type="dxa" w:w="2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Human Action</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Watch</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Metrics trending toward thresholds</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Increase monitoring frequency, log detailed diagnostics</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Review at next scheduled governance meeting</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Warning</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Thresholds breached for single metric</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Activate shadow model, increase logging</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owner investigates within 24 hours</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Action Required</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Multiple metrics degraded</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Route to fallback model or rule-based system</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Retraining initiated within 48 hours</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Emergency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 performance failure or harmful outputs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Disable model, activate circuit breaker</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Incident response team activated immediately</w:t>
            </w:r>
          </w:p>
        </w:tc>
      </w:tr>
    </w:tbl>
    <w:p>
      <w:pPr>
        <w:pStyle w:val="Heading3"/>
        <w:spacing w:before="220" w:after="120"/>
      </w:pPr>
      <w:r>
        <w:rPr>
          <w:rFonts w:ascii="Arial" w:cs="Arial" w:eastAsia="Arial" w:hAnsi="Arial"/>
          <w:b/>
          <w:bCs/>
          <w:color w:val="4472C4"/>
          <w:sz w:val="24"/>
          <w:szCs w:val="24"/>
        </w:rPr>
        <w:t xml:space="preserve">VI.10.4 Post-Incident Learning and Model Improvement</w:t>
      </w:r>
    </w:p>
    <w:p>
      <w:pPr>
        <w:spacing w:before="80" w:after="80" w:line="276"/>
        <w:jc w:val="both"/>
      </w:pPr>
      <w:r>
        <w:rPr>
          <w:rFonts w:ascii="Arial" w:cs="Arial" w:eastAsia="Arial" w:hAnsi="Arial"/>
          <w:color w:val="333333"/>
          <w:sz w:val="22"/>
          <w:szCs w:val="22"/>
        </w:rPr>
        <w:t xml:space="preserve">Every P1 and P2 AI incident triggers a formal post-incident review that produces a root cause analysis, impact assessment, and improvement plan. The review examines whether existing governance controls should have detected the issue earlier, whether the incident reveals gaps in the risk classification or monitoring framework, and whether the model retirement or replacement threshold should be adjusted. Findings are incorporated into the governance framework through quarterly update cycles, and anonymized case studies are added to the AI Ethics Case Library.</w:t>
      </w:r>
    </w:p>
    <w:p>
      <w:r>
        <w:br w:type="page"/>
      </w:r>
    </w:p>
    <w:p>
      <w:pPr>
        <w:pStyle w:val="Heading1"/>
        <w:spacing w:before="360" w:after="200"/>
      </w:pPr>
      <w:r>
        <w:rPr>
          <w:rFonts w:ascii="Arial" w:cs="Arial" w:eastAsia="Arial" w:hAnsi="Arial"/>
          <w:b/>
          <w:bCs/>
          <w:color w:val="1B3A5C"/>
          <w:sz w:val="32"/>
          <w:szCs w:val="32"/>
        </w:rPr>
        <w:t xml:space="preserve">Part VII: Enterprise Testing and Quality Assurance Framework</w:t>
      </w:r>
    </w:p>
    <w:p>
      <w:pPr>
        <w:spacing w:before="60" w:after="60"/>
      </w:pPr>
    </w:p>
    <w:p>
      <w:pPr>
        <w:pStyle w:val="Heading2"/>
        <w:spacing w:before="280" w:after="160"/>
      </w:pPr>
      <w:r>
        <w:rPr>
          <w:rFonts w:ascii="Arial" w:cs="Arial" w:eastAsia="Arial" w:hAnsi="Arial"/>
          <w:b/>
          <w:bCs/>
          <w:color w:val="2E75B6"/>
          <w:sz w:val="28"/>
          <w:szCs w:val="28"/>
        </w:rPr>
        <w:t xml:space="preserve">VII.1 Executive Overview and Testing Philosophy</w:t>
      </w:r>
    </w:p>
    <w:p>
      <w:pPr>
        <w:spacing w:before="80" w:after="80" w:line="276"/>
        <w:jc w:val="both"/>
      </w:pPr>
      <w:r>
        <w:rPr>
          <w:rFonts w:ascii="Arial" w:cs="Arial" w:eastAsia="Arial" w:hAnsi="Arial"/>
          <w:color w:val="333333"/>
          <w:sz w:val="22"/>
          <w:szCs w:val="22"/>
        </w:rPr>
        <w:t xml:space="preserve">The Enterprise Testing and Quality Assurance Framework establishes a comprehensive, AI-augmented approach to software quality that spans the entire lifecycle from requirements validation through production monitoring. As the enterprise increasingly relies on intelligent automation, agentic systems, and machine learning models, the testing framework must evolve beyond traditional deterministic verification to address the unique challenges of probabilistic systems, emergent behaviors, and continuously learning applications.</w:t>
      </w:r>
    </w:p>
    <w:p>
      <w:pPr>
        <w:spacing w:before="80" w:after="80" w:line="276"/>
        <w:jc w:val="both"/>
      </w:pPr>
      <w:r>
        <w:rPr>
          <w:rFonts w:ascii="Arial" w:cs="Arial" w:eastAsia="Arial" w:hAnsi="Arial"/>
          <w:color w:val="333333"/>
          <w:sz w:val="22"/>
          <w:szCs w:val="22"/>
        </w:rPr>
        <w:t xml:space="preserve">This framework integrates with the agentic SDLC architecture from Part III, inheriting its automation-first philosophy while establishing quality gates and validation requirements that ensure every artifact—whether generated by human developers or AI agents—meets enterprise standards for reliability, security, performance, and compliance.</w:t>
      </w:r>
    </w:p>
    <w:p>
      <w:pPr>
        <w:pStyle w:val="Heading3"/>
        <w:spacing w:before="220" w:after="120"/>
      </w:pPr>
      <w:r>
        <w:rPr>
          <w:rFonts w:ascii="Arial" w:cs="Arial" w:eastAsia="Arial" w:hAnsi="Arial"/>
          <w:b/>
          <w:bCs/>
          <w:color w:val="4472C4"/>
          <w:sz w:val="24"/>
          <w:szCs w:val="24"/>
        </w:rPr>
        <w:t xml:space="preserve">VII.1.1 Framework Objectives</w:t>
      </w:r>
    </w:p>
    <w:p>
      <w:pPr>
        <w:pStyle w:val="ListParagraph"/>
        <w:numPr>
          <w:ilvl w:val="0"/>
          <w:numId w:val="2"/>
        </w:numPr>
        <w:spacing w:before="40" w:after="40" w:line="276"/>
      </w:pPr>
      <w:r>
        <w:rPr>
          <w:rFonts w:ascii="Arial" w:cs="Arial" w:eastAsia="Arial" w:hAnsi="Arial"/>
          <w:b/>
          <w:bCs/>
          <w:color w:val="333333"/>
          <w:sz w:val="22"/>
          <w:szCs w:val="22"/>
        </w:rPr>
        <w:t xml:space="preserve">Shift-Left Quality: </w:t>
      </w:r>
      <w:r>
        <w:rPr>
          <w:rFonts w:ascii="Arial" w:cs="Arial" w:eastAsia="Arial" w:hAnsi="Arial"/>
          <w:color w:val="333333"/>
          <w:sz w:val="22"/>
          <w:szCs w:val="22"/>
        </w:rPr>
        <w:t xml:space="preserve">Embed quality validation at the earliest possible lifecycle stage, preventing defects rather than detecting them, through AI-powered requirements analysis, design review automation, and pre-commit validation.</w:t>
      </w:r>
    </w:p>
    <w:p>
      <w:pPr>
        <w:pStyle w:val="ListParagraph"/>
        <w:numPr>
          <w:ilvl w:val="0"/>
          <w:numId w:val="2"/>
        </w:numPr>
        <w:spacing w:before="40" w:after="40" w:line="276"/>
      </w:pPr>
      <w:r>
        <w:rPr>
          <w:rFonts w:ascii="Arial" w:cs="Arial" w:eastAsia="Arial" w:hAnsi="Arial"/>
          <w:b/>
          <w:bCs/>
          <w:color w:val="333333"/>
          <w:sz w:val="22"/>
          <w:szCs w:val="22"/>
        </w:rPr>
        <w:t xml:space="preserve">Continuous Assurance: </w:t>
      </w:r>
      <w:r>
        <w:rPr>
          <w:rFonts w:ascii="Arial" w:cs="Arial" w:eastAsia="Arial" w:hAnsi="Arial"/>
          <w:color w:val="333333"/>
          <w:sz w:val="22"/>
          <w:szCs w:val="22"/>
        </w:rPr>
        <w:t xml:space="preserve">Transform testing from a discrete phase into a continuous, automated discipline that provides real-time quality signals throughout development, deployment, and operation.</w:t>
      </w:r>
    </w:p>
    <w:p>
      <w:pPr>
        <w:pStyle w:val="ListParagraph"/>
        <w:numPr>
          <w:ilvl w:val="0"/>
          <w:numId w:val="2"/>
        </w:numPr>
        <w:spacing w:before="40" w:after="40" w:line="276"/>
      </w:pPr>
      <w:r>
        <w:rPr>
          <w:rFonts w:ascii="Arial" w:cs="Arial" w:eastAsia="Arial" w:hAnsi="Arial"/>
          <w:b/>
          <w:bCs/>
          <w:color w:val="333333"/>
          <w:sz w:val="22"/>
          <w:szCs w:val="22"/>
        </w:rPr>
        <w:t xml:space="preserve">Intelligent Test Optimization: </w:t>
      </w:r>
      <w:r>
        <w:rPr>
          <w:rFonts w:ascii="Arial" w:cs="Arial" w:eastAsia="Arial" w:hAnsi="Arial"/>
          <w:color w:val="333333"/>
          <w:sz w:val="22"/>
          <w:szCs w:val="22"/>
        </w:rPr>
        <w:t xml:space="preserve">Leverage AI and machine learning to optimize test suite design, prioritize test execution based on risk and change impact, and generate test cases that maximize coverage with minimum execution time.</w:t>
      </w:r>
    </w:p>
    <w:p>
      <w:pPr>
        <w:pStyle w:val="ListParagraph"/>
        <w:numPr>
          <w:ilvl w:val="0"/>
          <w:numId w:val="2"/>
        </w:numPr>
        <w:spacing w:before="40" w:after="40" w:line="276"/>
      </w:pPr>
      <w:r>
        <w:rPr>
          <w:rFonts w:ascii="Arial" w:cs="Arial" w:eastAsia="Arial" w:hAnsi="Arial"/>
          <w:b/>
          <w:bCs/>
          <w:color w:val="333333"/>
          <w:sz w:val="22"/>
          <w:szCs w:val="22"/>
        </w:rPr>
        <w:t xml:space="preserve">Unified Quality Visibility: </w:t>
      </w:r>
      <w:r>
        <w:rPr>
          <w:rFonts w:ascii="Arial" w:cs="Arial" w:eastAsia="Arial" w:hAnsi="Arial"/>
          <w:color w:val="333333"/>
          <w:sz w:val="22"/>
          <w:szCs w:val="22"/>
        </w:rPr>
        <w:t xml:space="preserve">Provide a single, comprehensive view of quality across all applications, environments, and technology stacks through standardized metrics, dashboards, and reporting.</w:t>
      </w:r>
    </w:p>
    <w:p>
      <w:pPr>
        <w:pStyle w:val="ListParagraph"/>
        <w:numPr>
          <w:ilvl w:val="0"/>
          <w:numId w:val="2"/>
        </w:numPr>
        <w:spacing w:before="40" w:after="40" w:line="276"/>
      </w:pPr>
      <w:r>
        <w:rPr>
          <w:rFonts w:ascii="Arial" w:cs="Arial" w:eastAsia="Arial" w:hAnsi="Arial"/>
          <w:b/>
          <w:bCs/>
          <w:color w:val="333333"/>
          <w:sz w:val="22"/>
          <w:szCs w:val="22"/>
        </w:rPr>
        <w:t xml:space="preserve">Compliance-Integrated Testing: </w:t>
      </w:r>
      <w:r>
        <w:rPr>
          <w:rFonts w:ascii="Arial" w:cs="Arial" w:eastAsia="Arial" w:hAnsi="Arial"/>
          <w:color w:val="333333"/>
          <w:sz w:val="22"/>
          <w:szCs w:val="22"/>
        </w:rPr>
        <w:t xml:space="preserve">Ensure that testing activities simultaneously validate functional correctness, security posture, regulatory compliance, and accessibility requirements, eliminating redundant compliance testing cycles.</w:t>
      </w:r>
    </w:p>
    <w:p>
      <w:pPr>
        <w:pStyle w:val="Heading3"/>
        <w:spacing w:before="220" w:after="120"/>
      </w:pPr>
      <w:r>
        <w:rPr>
          <w:rFonts w:ascii="Arial" w:cs="Arial" w:eastAsia="Arial" w:hAnsi="Arial"/>
          <w:b/>
          <w:bCs/>
          <w:color w:val="4472C4"/>
          <w:sz w:val="24"/>
          <w:szCs w:val="24"/>
        </w:rPr>
        <w:t xml:space="preserve">VII.1.2 Testing Strategy Principles</w:t>
      </w:r>
    </w:p>
    <w:p>
      <w:pPr>
        <w:spacing w:before="80" w:after="80" w:line="276"/>
        <w:jc w:val="both"/>
      </w:pPr>
      <w:r>
        <w:rPr>
          <w:rFonts w:ascii="Arial" w:cs="Arial" w:eastAsia="Arial" w:hAnsi="Arial"/>
          <w:color w:val="333333"/>
          <w:sz w:val="22"/>
          <w:szCs w:val="22"/>
        </w:rPr>
        <w:t xml:space="preserve">Six principles guide enterprise testing strategy and investment decisions:</w:t>
      </w:r>
    </w:p>
    <w:p>
      <w:pPr>
        <w:pStyle w:val="ListParagraph"/>
        <w:numPr>
          <w:ilvl w:val="0"/>
          <w:numId w:val="3"/>
        </w:numPr>
        <w:spacing w:before="40" w:after="40" w:line="276"/>
      </w:pPr>
      <w:r>
        <w:rPr>
          <w:rFonts w:ascii="Arial" w:cs="Arial" w:eastAsia="Arial" w:hAnsi="Arial"/>
          <w:color w:val="333333"/>
          <w:sz w:val="22"/>
          <w:szCs w:val="22"/>
        </w:rPr>
        <w:t xml:space="preserve">Automation First: Every test that can be automated must be automated. Manual testing is reserved exclusively for exploratory testing, usability evaluation, and scenarios where human judgment adds irreplaceable value.</w:t>
      </w:r>
    </w:p>
    <w:p>
      <w:pPr>
        <w:pStyle w:val="ListParagraph"/>
        <w:numPr>
          <w:ilvl w:val="0"/>
          <w:numId w:val="3"/>
        </w:numPr>
        <w:spacing w:before="40" w:after="40" w:line="276"/>
      </w:pPr>
      <w:r>
        <w:rPr>
          <w:rFonts w:ascii="Arial" w:cs="Arial" w:eastAsia="Arial" w:hAnsi="Arial"/>
          <w:color w:val="333333"/>
          <w:sz w:val="22"/>
          <w:szCs w:val="22"/>
        </w:rPr>
        <w:t xml:space="preserve">Risk-Based Prioritization: Testing effort is allocated proportionally to risk, with critical business processes and high-consequence systems receiving the most rigorous validation, while low-risk systems use streamlined testing profiles.</w:t>
      </w:r>
    </w:p>
    <w:p>
      <w:pPr>
        <w:pStyle w:val="ListParagraph"/>
        <w:numPr>
          <w:ilvl w:val="0"/>
          <w:numId w:val="3"/>
        </w:numPr>
        <w:spacing w:before="40" w:after="40" w:line="276"/>
      </w:pPr>
      <w:r>
        <w:rPr>
          <w:rFonts w:ascii="Arial" w:cs="Arial" w:eastAsia="Arial" w:hAnsi="Arial"/>
          <w:color w:val="333333"/>
          <w:sz w:val="22"/>
          <w:szCs w:val="22"/>
        </w:rPr>
        <w:t xml:space="preserve">Production Fidelity: Test environments must faithfully reproduce production conditions including data volumes, integration patterns, and traffic profiles to ensure that test results reliably predict production behavior.</w:t>
      </w:r>
    </w:p>
    <w:p>
      <w:pPr>
        <w:pStyle w:val="ListParagraph"/>
        <w:numPr>
          <w:ilvl w:val="0"/>
          <w:numId w:val="3"/>
        </w:numPr>
        <w:spacing w:before="40" w:after="40" w:line="276"/>
      </w:pPr>
      <w:r>
        <w:rPr>
          <w:rFonts w:ascii="Arial" w:cs="Arial" w:eastAsia="Arial" w:hAnsi="Arial"/>
          <w:color w:val="333333"/>
          <w:sz w:val="22"/>
          <w:szCs w:val="22"/>
        </w:rPr>
        <w:t xml:space="preserve">Fail Fast, Recover Faster: The testing pipeline is designed to surface failures as quickly as possible, with rapid feedback loops that enable developers to address issues within minutes rather than hours or days.</w:t>
      </w:r>
    </w:p>
    <w:p>
      <w:pPr>
        <w:pStyle w:val="ListParagraph"/>
        <w:numPr>
          <w:ilvl w:val="0"/>
          <w:numId w:val="3"/>
        </w:numPr>
        <w:spacing w:before="40" w:after="40" w:line="276"/>
      </w:pPr>
      <w:r>
        <w:rPr>
          <w:rFonts w:ascii="Arial" w:cs="Arial" w:eastAsia="Arial" w:hAnsi="Arial"/>
          <w:color w:val="333333"/>
          <w:sz w:val="22"/>
          <w:szCs w:val="22"/>
        </w:rPr>
        <w:t xml:space="preserve">Evidence-Based Quality: Quality decisions are driven by quantitative metrics rather than subjective assessment, with defined thresholds for test coverage, defect density, performance benchmarks, and reliability indicators.</w:t>
      </w:r>
    </w:p>
    <w:p>
      <w:pPr>
        <w:pStyle w:val="ListParagraph"/>
        <w:numPr>
          <w:ilvl w:val="0"/>
          <w:numId w:val="3"/>
        </w:numPr>
        <w:spacing w:before="40" w:after="40" w:line="276"/>
      </w:pPr>
      <w:r>
        <w:rPr>
          <w:rFonts w:ascii="Arial" w:cs="Arial" w:eastAsia="Arial" w:hAnsi="Arial"/>
          <w:color w:val="333333"/>
          <w:sz w:val="22"/>
          <w:szCs w:val="22"/>
        </w:rPr>
        <w:t xml:space="preserve">Accessibility by Default: Accessibility validation is integrated into standard testing workflows rather than treated as an optional or separate activity, ensuring that all applications meet WCAG standards.</w:t>
      </w:r>
    </w:p>
    <w:p>
      <w:r>
        <w:br w:type="page"/>
      </w:r>
    </w:p>
    <w:p>
      <w:pPr>
        <w:pStyle w:val="Heading2"/>
        <w:spacing w:before="280" w:after="160"/>
      </w:pPr>
      <w:r>
        <w:rPr>
          <w:rFonts w:ascii="Arial" w:cs="Arial" w:eastAsia="Arial" w:hAnsi="Arial"/>
          <w:b/>
          <w:bCs/>
          <w:color w:val="2E75B6"/>
          <w:sz w:val="28"/>
          <w:szCs w:val="28"/>
        </w:rPr>
        <w:t xml:space="preserve">VII.2 AI-Augmented Test Strategy and Architecture</w:t>
      </w:r>
    </w:p>
    <w:p>
      <w:pPr>
        <w:pStyle w:val="Heading3"/>
        <w:spacing w:before="220" w:after="120"/>
      </w:pPr>
      <w:r>
        <w:rPr>
          <w:rFonts w:ascii="Arial" w:cs="Arial" w:eastAsia="Arial" w:hAnsi="Arial"/>
          <w:b/>
          <w:bCs/>
          <w:color w:val="4472C4"/>
          <w:sz w:val="24"/>
          <w:szCs w:val="24"/>
        </w:rPr>
        <w:t xml:space="preserve">VII.2.1 Test Pyramid for AI-Enhanced Development</w:t>
      </w:r>
    </w:p>
    <w:p>
      <w:pPr>
        <w:spacing w:before="80" w:after="80" w:line="276"/>
        <w:jc w:val="both"/>
      </w:pPr>
      <w:r>
        <w:rPr>
          <w:rFonts w:ascii="Arial" w:cs="Arial" w:eastAsia="Arial" w:hAnsi="Arial"/>
          <w:color w:val="333333"/>
          <w:sz w:val="22"/>
          <w:szCs w:val="22"/>
        </w:rPr>
        <w:t xml:space="preserve">The enterprise testing architecture follows an extended test pyramid that integrates AI capabilities at every level. The pyramid establishes the relative investment and execution frequency for each testing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1760"/>
        <w:gridCol w:w="1800"/>
      </w:tblGrid>
      <w:tr>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Tier</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Enhancement</w:t>
            </w:r>
          </w:p>
        </w:tc>
        <w:tc>
          <w:tcPr>
            <w:tcW w:type="dxa" w:w="1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Execution</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Coverage Target</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Unit Tests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Individual functions and methods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AI-generated test cases, mutation testing, edge case discovery</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seconds per test</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90% code coverage</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Component Tests</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Service-level functionality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AI-driven contract testing, state machine exploration</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30 seconds per suite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85% component coverage</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Integration Tests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Cross-service interactions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AI-orchestrated scenario generation, dependency modeling</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minutes per suite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80% integration paths</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Tests</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Service contracts and protocols</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AI-generated payload fuzzing, schema validation</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2 minutes per suite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endpoint coverage</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End-to-End Tests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business workflows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AI-driven user journey modeling, visual regression</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15 minutes per suite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Critical paths 100%</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Performance Tests</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Load, stress, and scalability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AI-predicted bottleneck identification, adaptive load generation</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Scheduled and on-demand</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SLO-bound services</w:t>
            </w:r>
          </w:p>
        </w:tc>
      </w:tr>
      <w:tr>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Security Tests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Vulnerability and compliance</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AI-powered attack simulation, dynamic threat modeling</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Continuous and pre-release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OWASP Top 10 coverage</w:t>
            </w:r>
          </w:p>
        </w:tc>
      </w:tr>
      <w:tr>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Chaos Tests</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Resilience and recovery</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AI-driven failure scenario generation, blast radius prediction</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Weekly in staging</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critical dependencies</w:t>
            </w:r>
          </w:p>
        </w:tc>
      </w:tr>
    </w:tbl>
    <w:p>
      <w:pPr>
        <w:pStyle w:val="Heading3"/>
        <w:spacing w:before="220" w:after="120"/>
      </w:pPr>
      <w:r>
        <w:rPr>
          <w:rFonts w:ascii="Arial" w:cs="Arial" w:eastAsia="Arial" w:hAnsi="Arial"/>
          <w:b/>
          <w:bCs/>
          <w:color w:val="4472C4"/>
          <w:sz w:val="24"/>
          <w:szCs w:val="24"/>
        </w:rPr>
        <w:t xml:space="preserve">VII.2.2 AI Test Generation Engine</w:t>
      </w:r>
    </w:p>
    <w:p>
      <w:pPr>
        <w:spacing w:before="80" w:after="80" w:line="276"/>
        <w:jc w:val="both"/>
      </w:pPr>
      <w:r>
        <w:rPr>
          <w:rFonts w:ascii="Arial" w:cs="Arial" w:eastAsia="Arial" w:hAnsi="Arial"/>
          <w:color w:val="333333"/>
          <w:sz w:val="22"/>
          <w:szCs w:val="22"/>
        </w:rPr>
        <w:t xml:space="preserve">The AI Test Generation Engine is a core platform capability that uses machine learning to automatically create, maintain, and optimize test suites. The engine operates across four modes:</w:t>
      </w:r>
    </w:p>
    <w:p>
      <w:pPr>
        <w:pStyle w:val="ListParagraph"/>
        <w:numPr>
          <w:ilvl w:val="0"/>
          <w:numId w:val="2"/>
        </w:numPr>
        <w:spacing w:before="40" w:after="40" w:line="276"/>
      </w:pPr>
      <w:r>
        <w:rPr>
          <w:rFonts w:ascii="Arial" w:cs="Arial" w:eastAsia="Arial" w:hAnsi="Arial"/>
          <w:b/>
          <w:bCs/>
          <w:color w:val="333333"/>
          <w:sz w:val="22"/>
          <w:szCs w:val="22"/>
        </w:rPr>
        <w:t xml:space="preserve">Specification-Driven Generation: </w:t>
      </w:r>
      <w:r>
        <w:rPr>
          <w:rFonts w:ascii="Arial" w:cs="Arial" w:eastAsia="Arial" w:hAnsi="Arial"/>
          <w:color w:val="333333"/>
          <w:sz w:val="22"/>
          <w:szCs w:val="22"/>
        </w:rPr>
        <w:t xml:space="preserve">Parses requirements documents, user stories, and acceptance criteria using natural language processing to generate test scenarios that validate business logic. Generated tests are tagged with traceability links to source requirements for complete coverage mapping.</w:t>
      </w:r>
    </w:p>
    <w:p>
      <w:pPr>
        <w:pStyle w:val="ListParagraph"/>
        <w:numPr>
          <w:ilvl w:val="0"/>
          <w:numId w:val="2"/>
        </w:numPr>
        <w:spacing w:before="40" w:after="40" w:line="276"/>
      </w:pPr>
      <w:r>
        <w:rPr>
          <w:rFonts w:ascii="Arial" w:cs="Arial" w:eastAsia="Arial" w:hAnsi="Arial"/>
          <w:b/>
          <w:bCs/>
          <w:color w:val="333333"/>
          <w:sz w:val="22"/>
          <w:szCs w:val="22"/>
        </w:rPr>
        <w:t xml:space="preserve">Code-Driven Generation: </w:t>
      </w:r>
      <w:r>
        <w:rPr>
          <w:rFonts w:ascii="Arial" w:cs="Arial" w:eastAsia="Arial" w:hAnsi="Arial"/>
          <w:color w:val="333333"/>
          <w:sz w:val="22"/>
          <w:szCs w:val="22"/>
        </w:rPr>
        <w:t xml:space="preserve">Analyzes source code using static analysis and symbolic execution to generate unit and component tests that achieve target coverage metrics. Focuses on boundary conditions, error handling paths, and complex control flow that are most likely to harbor defects.</w:t>
      </w:r>
    </w:p>
    <w:p>
      <w:pPr>
        <w:pStyle w:val="ListParagraph"/>
        <w:numPr>
          <w:ilvl w:val="0"/>
          <w:numId w:val="2"/>
        </w:numPr>
        <w:spacing w:before="40" w:after="40" w:line="276"/>
      </w:pPr>
      <w:r>
        <w:rPr>
          <w:rFonts w:ascii="Arial" w:cs="Arial" w:eastAsia="Arial" w:hAnsi="Arial"/>
          <w:b/>
          <w:bCs/>
          <w:color w:val="333333"/>
          <w:sz w:val="22"/>
          <w:szCs w:val="22"/>
        </w:rPr>
        <w:t xml:space="preserve">Behavior-Driven Generation: </w:t>
      </w:r>
      <w:r>
        <w:rPr>
          <w:rFonts w:ascii="Arial" w:cs="Arial" w:eastAsia="Arial" w:hAnsi="Arial"/>
          <w:color w:val="333333"/>
          <w:sz w:val="22"/>
          <w:szCs w:val="22"/>
        </w:rPr>
        <w:t xml:space="preserve">Learns from production traffic patterns, user behavior analytics, and historical defect data to generate end-to-end test scenarios that represent real-world usage. Prioritizes scenarios by business impact and failure probability.</w:t>
      </w:r>
    </w:p>
    <w:p>
      <w:pPr>
        <w:pStyle w:val="ListParagraph"/>
        <w:numPr>
          <w:ilvl w:val="0"/>
          <w:numId w:val="2"/>
        </w:numPr>
        <w:spacing w:before="40" w:after="40" w:line="276"/>
      </w:pPr>
      <w:r>
        <w:rPr>
          <w:rFonts w:ascii="Arial" w:cs="Arial" w:eastAsia="Arial" w:hAnsi="Arial"/>
          <w:b/>
          <w:bCs/>
          <w:color w:val="333333"/>
          <w:sz w:val="22"/>
          <w:szCs w:val="22"/>
        </w:rPr>
        <w:t xml:space="preserve">Adversarial Generation: </w:t>
      </w:r>
      <w:r>
        <w:rPr>
          <w:rFonts w:ascii="Arial" w:cs="Arial" w:eastAsia="Arial" w:hAnsi="Arial"/>
          <w:color w:val="333333"/>
          <w:sz w:val="22"/>
          <w:szCs w:val="22"/>
        </w:rPr>
        <w:t xml:space="preserve">Employs adversarial AI techniques including fuzzing, metamorphic testing, and property-based testing to discover edge cases and failure modes that conventional testing methodologies miss. Particularly valuable for security testing and AI model validation.</w:t>
      </w:r>
    </w:p>
    <w:p>
      <w:pPr>
        <w:pStyle w:val="Heading3"/>
        <w:spacing w:before="220" w:after="120"/>
      </w:pPr>
      <w:r>
        <w:rPr>
          <w:rFonts w:ascii="Arial" w:cs="Arial" w:eastAsia="Arial" w:hAnsi="Arial"/>
          <w:b/>
          <w:bCs/>
          <w:color w:val="4472C4"/>
          <w:sz w:val="24"/>
          <w:szCs w:val="24"/>
        </w:rPr>
        <w:t xml:space="preserve">VII.2.3 Intelligent Test Selection and Prioritization</w:t>
      </w:r>
    </w:p>
    <w:p>
      <w:pPr>
        <w:spacing w:before="80" w:after="80" w:line="276"/>
        <w:jc w:val="both"/>
      </w:pPr>
      <w:r>
        <w:rPr>
          <w:rFonts w:ascii="Arial" w:cs="Arial" w:eastAsia="Arial" w:hAnsi="Arial"/>
          <w:color w:val="333333"/>
          <w:sz w:val="22"/>
          <w:szCs w:val="22"/>
        </w:rPr>
        <w:t xml:space="preserve">The Test Selection Engine uses predictive models to optimize test execution for every code change. By analyzing the code change graph, historical test results, and defect correlations, the engine selects the minimum set of tests required to achieve a target confidence level. This approach reduces average test suite execution time by sixty to eighty percent while maintaining equivalent or superior defect detection rates. The engine continuously learns from test outcomes, adjusting selection models as the codebase and test suite evolve.</w:t>
      </w:r>
    </w:p>
    <w:p>
      <w:r>
        <w:br w:type="page"/>
      </w:r>
    </w:p>
    <w:p>
      <w:pPr>
        <w:pStyle w:val="Heading2"/>
        <w:spacing w:before="280" w:after="160"/>
      </w:pPr>
      <w:r>
        <w:rPr>
          <w:rFonts w:ascii="Arial" w:cs="Arial" w:eastAsia="Arial" w:hAnsi="Arial"/>
          <w:b/>
          <w:bCs/>
          <w:color w:val="2E75B6"/>
          <w:sz w:val="28"/>
          <w:szCs w:val="28"/>
        </w:rPr>
        <w:t xml:space="preserve">VII.3 Test Automation Framework Architecture</w:t>
      </w:r>
    </w:p>
    <w:p>
      <w:pPr>
        <w:pStyle w:val="Heading3"/>
        <w:spacing w:before="220" w:after="120"/>
      </w:pPr>
      <w:r>
        <w:rPr>
          <w:rFonts w:ascii="Arial" w:cs="Arial" w:eastAsia="Arial" w:hAnsi="Arial"/>
          <w:b/>
          <w:bCs/>
          <w:color w:val="4472C4"/>
          <w:sz w:val="24"/>
          <w:szCs w:val="24"/>
        </w:rPr>
        <w:t xml:space="preserve">VII.3.1 Automation Platform Components</w:t>
      </w:r>
    </w:p>
    <w:p>
      <w:pPr>
        <w:spacing w:before="80" w:after="80" w:line="276"/>
        <w:jc w:val="both"/>
      </w:pPr>
      <w:r>
        <w:rPr>
          <w:rFonts w:ascii="Arial" w:cs="Arial" w:eastAsia="Arial" w:hAnsi="Arial"/>
          <w:color w:val="333333"/>
          <w:sz w:val="22"/>
          <w:szCs w:val="22"/>
        </w:rPr>
        <w:t xml:space="preserve">The enterprise test automation platform provides shared infrastructure, tooling, and services that enable development teams to implement automated testing efficiently and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c>
          <w:tcPr>
            <w:tcW w:type="dxa" w:w="4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Capabilities</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Orchestration Engine</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Coordinates test execution across environments and pipelines</w:t>
            </w:r>
          </w:p>
        </w:tc>
        <w:tc>
          <w:tcPr>
            <w:tcW w:type="dxa" w:w="4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Parallel execution, dependency management, retry logic, environment routing</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Data Management</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Provides governed, realistic test data on demand</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Synthetic data generation, data masking, subset creation, referential integrity</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Environment Provisioning</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Creates and manages test environments</w:t>
            </w:r>
          </w:p>
        </w:tc>
        <w:tc>
          <w:tcPr>
            <w:tcW w:type="dxa" w:w="4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Infrastructure-as-code, containerized environments, ephemeral staging, data seeding</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Visual Testing Platform</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Detects UI regressions across browsers and devices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Screenshot comparison, DOM diffing, responsive layout validation, accessibility scanning</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Testing Framework</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Validates service contracts and behaviors</w:t>
            </w:r>
          </w:p>
        </w:tc>
        <w:tc>
          <w:tcPr>
            <w:tcW w:type="dxa" w:w="4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Contract testing, schema validation, load generation, mock service management</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Mobile Testing Lab</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Enables testing across device configurations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Real device cloud, emulator management, gesture automation, performance profiling</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Analytics Engine</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Provides insights into test effectiveness and quality trends</w:t>
            </w:r>
          </w:p>
        </w:tc>
        <w:tc>
          <w:tcPr>
            <w:tcW w:type="dxa" w:w="4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Flaky test detection, coverage trending, defect correlation, ROI analysis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Test Assistant</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Augments human testers with intelligent capabilities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Natural language test authoring, smart locator generation, self-healing scripts</w:t>
            </w:r>
          </w:p>
        </w:tc>
      </w:tr>
    </w:tbl>
    <w:p>
      <w:pPr>
        <w:pStyle w:val="Heading3"/>
        <w:spacing w:before="220" w:after="120"/>
      </w:pPr>
      <w:r>
        <w:rPr>
          <w:rFonts w:ascii="Arial" w:cs="Arial" w:eastAsia="Arial" w:hAnsi="Arial"/>
          <w:b/>
          <w:bCs/>
          <w:color w:val="4472C4"/>
          <w:sz w:val="24"/>
          <w:szCs w:val="24"/>
        </w:rPr>
        <w:t xml:space="preserve">VII.3.2 Test Automation Standards</w:t>
      </w:r>
    </w:p>
    <w:p>
      <w:pPr>
        <w:spacing w:before="80" w:after="80" w:line="276"/>
        <w:jc w:val="both"/>
      </w:pPr>
      <w:r>
        <w:rPr>
          <w:rFonts w:ascii="Arial" w:cs="Arial" w:eastAsia="Arial" w:hAnsi="Arial"/>
          <w:color w:val="333333"/>
          <w:sz w:val="22"/>
          <w:szCs w:val="22"/>
        </w:rPr>
        <w:t xml:space="preserve">All automated tests across the enterprise must conform to the following standards to ensure maintainability, reliability, and cross-team consistency:</w:t>
      </w:r>
    </w:p>
    <w:p>
      <w:pPr>
        <w:pStyle w:val="ListParagraph"/>
        <w:numPr>
          <w:ilvl w:val="0"/>
          <w:numId w:val="2"/>
        </w:numPr>
        <w:spacing w:before="40" w:after="40" w:line="276"/>
      </w:pPr>
      <w:r>
        <w:rPr>
          <w:rFonts w:ascii="Arial" w:cs="Arial" w:eastAsia="Arial" w:hAnsi="Arial"/>
          <w:b/>
          <w:bCs/>
          <w:color w:val="333333"/>
          <w:sz w:val="22"/>
          <w:szCs w:val="22"/>
        </w:rPr>
        <w:t xml:space="preserve">Independence: </w:t>
      </w:r>
      <w:r>
        <w:rPr>
          <w:rFonts w:ascii="Arial" w:cs="Arial" w:eastAsia="Arial" w:hAnsi="Arial"/>
          <w:color w:val="333333"/>
          <w:sz w:val="22"/>
          <w:szCs w:val="22"/>
        </w:rPr>
        <w:t xml:space="preserve">Each test must be fully independent, setting up its own preconditions and cleaning up after execution. No test may depend on the execution order or results of another test.</w:t>
      </w:r>
    </w:p>
    <w:p>
      <w:pPr>
        <w:pStyle w:val="ListParagraph"/>
        <w:numPr>
          <w:ilvl w:val="0"/>
          <w:numId w:val="2"/>
        </w:numPr>
        <w:spacing w:before="40" w:after="40" w:line="276"/>
      </w:pPr>
      <w:r>
        <w:rPr>
          <w:rFonts w:ascii="Arial" w:cs="Arial" w:eastAsia="Arial" w:hAnsi="Arial"/>
          <w:b/>
          <w:bCs/>
          <w:color w:val="333333"/>
          <w:sz w:val="22"/>
          <w:szCs w:val="22"/>
        </w:rPr>
        <w:t xml:space="preserve">Determinism: </w:t>
      </w:r>
      <w:r>
        <w:rPr>
          <w:rFonts w:ascii="Arial" w:cs="Arial" w:eastAsia="Arial" w:hAnsi="Arial"/>
          <w:color w:val="333333"/>
          <w:sz w:val="22"/>
          <w:szCs w:val="22"/>
        </w:rPr>
        <w:t xml:space="preserve">Tests must produce the same result when executed repeatedly under the same conditions. Flaky tests that produce inconsistent results must be quarantined within twenty-four hours and repaired within one sprint.</w:t>
      </w:r>
    </w:p>
    <w:p>
      <w:pPr>
        <w:pStyle w:val="ListParagraph"/>
        <w:numPr>
          <w:ilvl w:val="0"/>
          <w:numId w:val="2"/>
        </w:numPr>
        <w:spacing w:before="40" w:after="40" w:line="276"/>
      </w:pPr>
      <w:r>
        <w:rPr>
          <w:rFonts w:ascii="Arial" w:cs="Arial" w:eastAsia="Arial" w:hAnsi="Arial"/>
          <w:b/>
          <w:bCs/>
          <w:color w:val="333333"/>
          <w:sz w:val="22"/>
          <w:szCs w:val="22"/>
        </w:rPr>
        <w:t xml:space="preserve">Speed: </w:t>
      </w:r>
      <w:r>
        <w:rPr>
          <w:rFonts w:ascii="Arial" w:cs="Arial" w:eastAsia="Arial" w:hAnsi="Arial"/>
          <w:color w:val="333333"/>
          <w:sz w:val="22"/>
          <w:szCs w:val="22"/>
        </w:rPr>
        <w:t xml:space="preserve">Unit tests must complete within five seconds individually. Integration test suites must complete within the time budget allocated by the CI/CD pipeline. Tests exceeding time budgets are flagged for optimization.</w:t>
      </w:r>
    </w:p>
    <w:p>
      <w:pPr>
        <w:pStyle w:val="ListParagraph"/>
        <w:numPr>
          <w:ilvl w:val="0"/>
          <w:numId w:val="2"/>
        </w:numPr>
        <w:spacing w:before="40" w:after="40" w:line="276"/>
      </w:pPr>
      <w:r>
        <w:rPr>
          <w:rFonts w:ascii="Arial" w:cs="Arial" w:eastAsia="Arial" w:hAnsi="Arial"/>
          <w:b/>
          <w:bCs/>
          <w:color w:val="333333"/>
          <w:sz w:val="22"/>
          <w:szCs w:val="22"/>
        </w:rPr>
        <w:t xml:space="preserve">Readability: </w:t>
      </w:r>
      <w:r>
        <w:rPr>
          <w:rFonts w:ascii="Arial" w:cs="Arial" w:eastAsia="Arial" w:hAnsi="Arial"/>
          <w:color w:val="333333"/>
          <w:sz w:val="22"/>
          <w:szCs w:val="22"/>
        </w:rPr>
        <w:t xml:space="preserve">Test code must be as readable and maintainable as production code, following the Arrange-Act-Assert pattern, using descriptive naming conventions, and avoiding complex logic within test methods.</w:t>
      </w:r>
    </w:p>
    <w:p>
      <w:pPr>
        <w:pStyle w:val="ListParagraph"/>
        <w:numPr>
          <w:ilvl w:val="0"/>
          <w:numId w:val="2"/>
        </w:numPr>
        <w:spacing w:before="40" w:after="40" w:line="276"/>
      </w:pPr>
      <w:r>
        <w:rPr>
          <w:rFonts w:ascii="Arial" w:cs="Arial" w:eastAsia="Arial" w:hAnsi="Arial"/>
          <w:b/>
          <w:bCs/>
          <w:color w:val="333333"/>
          <w:sz w:val="22"/>
          <w:szCs w:val="22"/>
        </w:rPr>
        <w:t xml:space="preserve">Self-Healing: </w:t>
      </w:r>
      <w:r>
        <w:rPr>
          <w:rFonts w:ascii="Arial" w:cs="Arial" w:eastAsia="Arial" w:hAnsi="Arial"/>
          <w:color w:val="333333"/>
          <w:sz w:val="22"/>
          <w:szCs w:val="22"/>
        </w:rPr>
        <w:t xml:space="preserve">UI automation tests must implement self-healing locator strategies that adapt to minor interface changes without requiring manual maintenance, leveraging AI-powered element identification.</w:t>
      </w:r>
    </w:p>
    <w:p>
      <w:pPr>
        <w:pStyle w:val="ListParagraph"/>
        <w:numPr>
          <w:ilvl w:val="0"/>
          <w:numId w:val="2"/>
        </w:numPr>
        <w:spacing w:before="40" w:after="40" w:line="276"/>
      </w:pPr>
      <w:r>
        <w:rPr>
          <w:rFonts w:ascii="Arial" w:cs="Arial" w:eastAsia="Arial" w:hAnsi="Arial"/>
          <w:b/>
          <w:bCs/>
          <w:color w:val="333333"/>
          <w:sz w:val="22"/>
          <w:szCs w:val="22"/>
        </w:rPr>
        <w:t xml:space="preserve">Traceability: </w:t>
      </w:r>
      <w:r>
        <w:rPr>
          <w:rFonts w:ascii="Arial" w:cs="Arial" w:eastAsia="Arial" w:hAnsi="Arial"/>
          <w:color w:val="333333"/>
          <w:sz w:val="22"/>
          <w:szCs w:val="22"/>
        </w:rPr>
        <w:t xml:space="preserve">Every test must be linked to a requirement, user story, or defect record, enabling end-to-end traceability from business need through validation evidence.</w:t>
      </w:r>
    </w:p>
    <w:p>
      <w:pPr>
        <w:pStyle w:val="Heading3"/>
        <w:spacing w:before="220" w:after="120"/>
      </w:pPr>
      <w:r>
        <w:rPr>
          <w:rFonts w:ascii="Arial" w:cs="Arial" w:eastAsia="Arial" w:hAnsi="Arial"/>
          <w:b/>
          <w:bCs/>
          <w:color w:val="4472C4"/>
          <w:sz w:val="24"/>
          <w:szCs w:val="24"/>
        </w:rPr>
        <w:t xml:space="preserve">VII.3.3 Flaky Test Management</w:t>
      </w:r>
    </w:p>
    <w:p>
      <w:pPr>
        <w:spacing w:before="80" w:after="80" w:line="276"/>
        <w:jc w:val="both"/>
      </w:pPr>
      <w:r>
        <w:rPr>
          <w:rFonts w:ascii="Arial" w:cs="Arial" w:eastAsia="Arial" w:hAnsi="Arial"/>
          <w:color w:val="333333"/>
          <w:sz w:val="22"/>
          <w:szCs w:val="22"/>
        </w:rPr>
        <w:t xml:space="preserve">Flaky tests—those producing non-deterministic results—undermine confidence in the entire testing infrastructure. The framework implements a zero-tolerance policy through automated flaky test detection using statistical analysis of test result patterns across multiple executions, automatic quarantine that moves identified flaky tests to a separate execution track that does not block deployments, prioritized remediation with SLAs requiring flaky tests to be resolved within five business days, root cause analysis that categorizes flakiness causes to drive systematic infrastructure and practice improvements, and a quarantine dashboard providing visibility into flaky test volume, age, and resolution progress.</w:t>
      </w:r>
    </w:p>
    <w:p>
      <w:r>
        <w:br w:type="page"/>
      </w:r>
    </w:p>
    <w:p>
      <w:pPr>
        <w:pStyle w:val="Heading2"/>
        <w:spacing w:before="280" w:after="160"/>
      </w:pPr>
      <w:r>
        <w:rPr>
          <w:rFonts w:ascii="Arial" w:cs="Arial" w:eastAsia="Arial" w:hAnsi="Arial"/>
          <w:b/>
          <w:bCs/>
          <w:color w:val="2E75B6"/>
          <w:sz w:val="28"/>
          <w:szCs w:val="28"/>
        </w:rPr>
        <w:t xml:space="preserve">VII.4 AI Model Validation and Testing</w:t>
      </w:r>
    </w:p>
    <w:p>
      <w:pPr>
        <w:pStyle w:val="Heading3"/>
        <w:spacing w:before="220" w:after="120"/>
      </w:pPr>
      <w:r>
        <w:rPr>
          <w:rFonts w:ascii="Arial" w:cs="Arial" w:eastAsia="Arial" w:hAnsi="Arial"/>
          <w:b/>
          <w:bCs/>
          <w:color w:val="4472C4"/>
          <w:sz w:val="24"/>
          <w:szCs w:val="24"/>
        </w:rPr>
        <w:t xml:space="preserve">VII.4.1 Model Testing Framework</w:t>
      </w:r>
    </w:p>
    <w:p>
      <w:pPr>
        <w:spacing w:before="80" w:after="80" w:line="276"/>
        <w:jc w:val="both"/>
      </w:pPr>
      <w:r>
        <w:rPr>
          <w:rFonts w:ascii="Arial" w:cs="Arial" w:eastAsia="Arial" w:hAnsi="Arial"/>
          <w:color w:val="333333"/>
          <w:sz w:val="22"/>
          <w:szCs w:val="22"/>
        </w:rPr>
        <w:t xml:space="preserve">AI/ML model testing requires a fundamentally different approach than traditional software testing due to the probabilistic nature of model outputs, the dependence on training data quality, and the potential for subtle failure modes that only manifest in specific data distributions. The model testing framework defines five categories of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Validation Category</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c>
          <w:tcPr>
            <w:tcW w:type="dxa" w:w="3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Techniques</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Functional Validation</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Verify model produces correct outputs for known inputs</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Golden dataset testing, invariance testing, directional expectation testing</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model version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Statistical Validation</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 model meets performance requirements</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Cross-validation, holdout testing, bootstrap confidence intervals</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model version</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Fairness Validation</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Ensure equitable performance across subgroups</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Disaggregated metrics, intersectional analysis, counterfactual testing</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model version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Robustness Validation</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Assess model behavior under adversarial conditions</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Adversarial attacks, perturbation testing, out-of-distribution detection</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Pre-deployment + quarterly</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Operational Validation</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Confirm model operates correctly in production environment</w:t>
            </w:r>
          </w:p>
        </w:tc>
        <w:tc>
          <w:tcPr>
            <w:tcW w:type="dxa" w:w="31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Shadow deployment, A/B testing, canary analysis, integration testing</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Pre-deployment</w:t>
            </w:r>
          </w:p>
        </w:tc>
      </w:tr>
    </w:tbl>
    <w:p>
      <w:pPr>
        <w:pStyle w:val="Heading3"/>
        <w:spacing w:before="220" w:after="120"/>
      </w:pPr>
      <w:r>
        <w:rPr>
          <w:rFonts w:ascii="Arial" w:cs="Arial" w:eastAsia="Arial" w:hAnsi="Arial"/>
          <w:b/>
          <w:bCs/>
          <w:color w:val="4472C4"/>
          <w:sz w:val="24"/>
          <w:szCs w:val="24"/>
        </w:rPr>
        <w:t xml:space="preserve">VII.4.2 Golden Dataset Management</w:t>
      </w:r>
    </w:p>
    <w:p>
      <w:pPr>
        <w:spacing w:before="80" w:after="80" w:line="276"/>
        <w:jc w:val="both"/>
      </w:pPr>
      <w:r>
        <w:rPr>
          <w:rFonts w:ascii="Arial" w:cs="Arial" w:eastAsia="Arial" w:hAnsi="Arial"/>
          <w:color w:val="333333"/>
          <w:sz w:val="22"/>
          <w:szCs w:val="22"/>
        </w:rPr>
        <w:t xml:space="preserve">Golden datasets serve as curated reference collections that provide consistent, high-quality benchmarks for model evaluation across versions and over time. The framework requires each production model to maintain golden datasets covering representative production data that captures the statistical distribution of real-world inputs, edge cases and boundary conditions that test model behavior at the limits of its training distribution, adversarial examples that probe known vulnerability patterns and attack vectors, fairness-critical subgroups that enable disaggregated performance evaluation, and regression markers that preserve examples where previous model versions produced incorrect outputs.</w:t>
      </w:r>
    </w:p>
    <w:p>
      <w:pPr>
        <w:spacing w:before="80" w:after="80" w:line="276"/>
        <w:jc w:val="both"/>
      </w:pPr>
      <w:r>
        <w:rPr>
          <w:rFonts w:ascii="Arial" w:cs="Arial" w:eastAsia="Arial" w:hAnsi="Arial"/>
          <w:color w:val="333333"/>
          <w:sz w:val="22"/>
          <w:szCs w:val="22"/>
        </w:rPr>
        <w:t xml:space="preserve">Golden datasets are versioned, documented, and subject to periodic review to ensure they remain representative of current production conditions. The AI CoE maintains a shared golden dataset repository and provides tooling for teams to create and maintain their model-specific collections.</w:t>
      </w:r>
    </w:p>
    <w:p>
      <w:pPr>
        <w:pStyle w:val="Heading3"/>
        <w:spacing w:before="220" w:after="120"/>
      </w:pPr>
      <w:r>
        <w:rPr>
          <w:rFonts w:ascii="Arial" w:cs="Arial" w:eastAsia="Arial" w:hAnsi="Arial"/>
          <w:b/>
          <w:bCs/>
          <w:color w:val="4472C4"/>
          <w:sz w:val="24"/>
          <w:szCs w:val="24"/>
        </w:rPr>
        <w:t xml:space="preserve">VII.4.3 Metamorphic Testing for AI</w:t>
      </w:r>
    </w:p>
    <w:p>
      <w:pPr>
        <w:spacing w:before="80" w:after="80" w:line="276"/>
        <w:jc w:val="both"/>
      </w:pPr>
      <w:r>
        <w:rPr>
          <w:rFonts w:ascii="Arial" w:cs="Arial" w:eastAsia="Arial" w:hAnsi="Arial"/>
          <w:color w:val="333333"/>
          <w:sz w:val="22"/>
          <w:szCs w:val="22"/>
        </w:rPr>
        <w:t xml:space="preserve">Metamorphic testing addresses the oracle problem inherent in AI testing—the challenge of determining correct outputs when ground truth is unavailable or ambiguous. Rather than verifying specific outputs, metamorphic testing validates that relationships between inputs and outputs satisfy expected properties:</w:t>
      </w:r>
    </w:p>
    <w:p>
      <w:pPr>
        <w:pStyle w:val="ListParagraph"/>
        <w:numPr>
          <w:ilvl w:val="0"/>
          <w:numId w:val="2"/>
        </w:numPr>
        <w:spacing w:before="40" w:after="40" w:line="276"/>
      </w:pPr>
      <w:r>
        <w:rPr>
          <w:rFonts w:ascii="Arial" w:cs="Arial" w:eastAsia="Arial" w:hAnsi="Arial"/>
          <w:b/>
          <w:bCs/>
          <w:color w:val="333333"/>
          <w:sz w:val="22"/>
          <w:szCs w:val="22"/>
        </w:rPr>
        <w:t xml:space="preserve">Invariance Properties: </w:t>
      </w:r>
      <w:r>
        <w:rPr>
          <w:rFonts w:ascii="Arial" w:cs="Arial" w:eastAsia="Arial" w:hAnsi="Arial"/>
          <w:color w:val="333333"/>
          <w:sz w:val="22"/>
          <w:szCs w:val="22"/>
        </w:rPr>
        <w:t xml:space="preserve">Model output should not change when input is modified in ways that are semantically irrelevant. For example, a sentiment classifier should produce the same result regardless of synonym substitution or minor grammatical changes.</w:t>
      </w:r>
    </w:p>
    <w:p>
      <w:pPr>
        <w:pStyle w:val="ListParagraph"/>
        <w:numPr>
          <w:ilvl w:val="0"/>
          <w:numId w:val="2"/>
        </w:numPr>
        <w:spacing w:before="40" w:after="40" w:line="276"/>
      </w:pPr>
      <w:r>
        <w:rPr>
          <w:rFonts w:ascii="Arial" w:cs="Arial" w:eastAsia="Arial" w:hAnsi="Arial"/>
          <w:b/>
          <w:bCs/>
          <w:color w:val="333333"/>
          <w:sz w:val="22"/>
          <w:szCs w:val="22"/>
        </w:rPr>
        <w:t xml:space="preserve">Directional Properties: </w:t>
      </w:r>
      <w:r>
        <w:rPr>
          <w:rFonts w:ascii="Arial" w:cs="Arial" w:eastAsia="Arial" w:hAnsi="Arial"/>
          <w:color w:val="333333"/>
          <w:sz w:val="22"/>
          <w:szCs w:val="22"/>
        </w:rPr>
        <w:t xml:space="preserve">Model output should change in a predictable direction when input is modified in semantically meaningful ways. For example, adding strongly positive language should increase a sentiment score.</w:t>
      </w:r>
    </w:p>
    <w:p>
      <w:pPr>
        <w:pStyle w:val="ListParagraph"/>
        <w:numPr>
          <w:ilvl w:val="0"/>
          <w:numId w:val="2"/>
        </w:numPr>
        <w:spacing w:before="40" w:after="40" w:line="276"/>
      </w:pPr>
      <w:r>
        <w:rPr>
          <w:rFonts w:ascii="Arial" w:cs="Arial" w:eastAsia="Arial" w:hAnsi="Arial"/>
          <w:b/>
          <w:bCs/>
          <w:color w:val="333333"/>
          <w:sz w:val="22"/>
          <w:szCs w:val="22"/>
        </w:rPr>
        <w:t xml:space="preserve">Consistency Properties: </w:t>
      </w:r>
      <w:r>
        <w:rPr>
          <w:rFonts w:ascii="Arial" w:cs="Arial" w:eastAsia="Arial" w:hAnsi="Arial"/>
          <w:color w:val="333333"/>
          <w:sz w:val="22"/>
          <w:szCs w:val="22"/>
        </w:rPr>
        <w:t xml:space="preserve">Model outputs should maintain internal consistency across related inputs. For example, a risk model should assign higher risk scores to objectively riskier scenarios.</w:t>
      </w:r>
    </w:p>
    <w:p>
      <w:pPr>
        <w:pStyle w:val="ListParagraph"/>
        <w:numPr>
          <w:ilvl w:val="0"/>
          <w:numId w:val="2"/>
        </w:numPr>
        <w:spacing w:before="40" w:after="40" w:line="276"/>
      </w:pPr>
      <w:r>
        <w:rPr>
          <w:rFonts w:ascii="Arial" w:cs="Arial" w:eastAsia="Arial" w:hAnsi="Arial"/>
          <w:b/>
          <w:bCs/>
          <w:color w:val="333333"/>
          <w:sz w:val="22"/>
          <w:szCs w:val="22"/>
        </w:rPr>
        <w:t xml:space="preserve">Symmetry Properties: </w:t>
      </w:r>
      <w:r>
        <w:rPr>
          <w:rFonts w:ascii="Arial" w:cs="Arial" w:eastAsia="Arial" w:hAnsi="Arial"/>
          <w:color w:val="333333"/>
          <w:sz w:val="22"/>
          <w:szCs w:val="22"/>
        </w:rPr>
        <w:t xml:space="preserve">Model outputs should be invariant to input transformations that should not affect the decision. For example, swapping demographic attributes in an application should not change approval decisions.</w:t>
      </w:r>
    </w:p>
    <w:p>
      <w:pPr>
        <w:pStyle w:val="Heading3"/>
        <w:spacing w:before="220" w:after="120"/>
      </w:pPr>
      <w:r>
        <w:rPr>
          <w:rFonts w:ascii="Arial" w:cs="Arial" w:eastAsia="Arial" w:hAnsi="Arial"/>
          <w:b/>
          <w:bCs/>
          <w:color w:val="4472C4"/>
          <w:sz w:val="24"/>
          <w:szCs w:val="24"/>
        </w:rPr>
        <w:t xml:space="preserve">VII.4.4 Champion-Challenger Testing</w:t>
      </w:r>
    </w:p>
    <w:p>
      <w:pPr>
        <w:spacing w:before="80" w:after="80" w:line="276"/>
        <w:jc w:val="both"/>
      </w:pPr>
      <w:r>
        <w:rPr>
          <w:rFonts w:ascii="Arial" w:cs="Arial" w:eastAsia="Arial" w:hAnsi="Arial"/>
          <w:color w:val="333333"/>
          <w:sz w:val="22"/>
          <w:szCs w:val="22"/>
        </w:rPr>
        <w:t xml:space="preserve">Before deploying new or updated models to production, the framework requires champion-challenger testing that runs the new model (challenger) alongside the current production model (champion) on live traffic. This approach provides direct comparison of performance under production conditions, detection of regression in specific data segments, gradual traffic shifting that limits exposure to potential issues, and statistical rigor through controlled experimentation methodology. Champion-challenger tests require pre-defined success criteria, minimum sample sizes for statistical significance, and documented rollback procedures if the challenger fails to demonstrate improvement.</w:t>
      </w:r>
    </w:p>
    <w:p>
      <w:r>
        <w:br w:type="page"/>
      </w:r>
    </w:p>
    <w:p>
      <w:pPr>
        <w:pStyle w:val="Heading2"/>
        <w:spacing w:before="280" w:after="160"/>
      </w:pPr>
      <w:r>
        <w:rPr>
          <w:rFonts w:ascii="Arial" w:cs="Arial" w:eastAsia="Arial" w:hAnsi="Arial"/>
          <w:b/>
          <w:bCs/>
          <w:color w:val="2E75B6"/>
          <w:sz w:val="28"/>
          <w:szCs w:val="28"/>
        </w:rPr>
        <w:t xml:space="preserve">VII.5 Performance Testing and Reliability Engineering</w:t>
      </w:r>
    </w:p>
    <w:p>
      <w:pPr>
        <w:pStyle w:val="Heading3"/>
        <w:spacing w:before="220" w:after="120"/>
      </w:pPr>
      <w:r>
        <w:rPr>
          <w:rFonts w:ascii="Arial" w:cs="Arial" w:eastAsia="Arial" w:hAnsi="Arial"/>
          <w:b/>
          <w:bCs/>
          <w:color w:val="4472C4"/>
          <w:sz w:val="24"/>
          <w:szCs w:val="24"/>
        </w:rPr>
        <w:t xml:space="preserve">VII.5.1 Performance Testing Strategy</w:t>
      </w:r>
    </w:p>
    <w:p>
      <w:pPr>
        <w:spacing w:before="80" w:after="80" w:line="276"/>
        <w:jc w:val="both"/>
      </w:pPr>
      <w:r>
        <w:rPr>
          <w:rFonts w:ascii="Arial" w:cs="Arial" w:eastAsia="Arial" w:hAnsi="Arial"/>
          <w:color w:val="333333"/>
          <w:sz w:val="22"/>
          <w:szCs w:val="22"/>
        </w:rPr>
        <w:t xml:space="preserve">The performance testing framework ensures that all applications meet defined service level objectives under expected and stress conditions. The strategy encompasses five performance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Type</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Objective</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Load Profile</w:t>
            </w:r>
          </w:p>
        </w:tc>
        <w:tc>
          <w:tcPr>
            <w:tcW w:type="dxa" w:w="2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Success Criteria</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Baseline</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Establish performance benchmarks under normal conditions</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Average production load</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SLOs met, metrics baselined</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Load</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Validate behavior at expected peak capacity</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2x average load, sustained 60 minutes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SLOs met, no resource exhaustion</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Stress</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Identify breaking points and degradation patterns</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Ramp from 1x to failure point</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Graceful degradation documented</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Endurance</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Detect memory leaks and resource degradation over time</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Average load sustained 72 hours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performance degradation trend</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Spike</w:t>
            </w:r>
          </w:p>
        </w:tc>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Validate response to sudden traffic surges</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10x load for 5 minutes, repeated</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Recovery within 60 seconds</w:t>
            </w:r>
          </w:p>
        </w:tc>
      </w:tr>
    </w:tbl>
    <w:p>
      <w:pPr>
        <w:pStyle w:val="Heading3"/>
        <w:spacing w:before="220" w:after="120"/>
      </w:pPr>
      <w:r>
        <w:rPr>
          <w:rFonts w:ascii="Arial" w:cs="Arial" w:eastAsia="Arial" w:hAnsi="Arial"/>
          <w:b/>
          <w:bCs/>
          <w:color w:val="4472C4"/>
          <w:sz w:val="24"/>
          <w:szCs w:val="24"/>
        </w:rPr>
        <w:t xml:space="preserve">VII.5.2 AI-Driven Performance Analysis</w:t>
      </w:r>
    </w:p>
    <w:p>
      <w:pPr>
        <w:spacing w:before="80" w:after="80" w:line="276"/>
        <w:jc w:val="both"/>
      </w:pPr>
      <w:r>
        <w:rPr>
          <w:rFonts w:ascii="Arial" w:cs="Arial" w:eastAsia="Arial" w:hAnsi="Arial"/>
          <w:color w:val="333333"/>
          <w:sz w:val="22"/>
          <w:szCs w:val="22"/>
        </w:rPr>
        <w:t xml:space="preserve">AI-powered performance analysis extends traditional threshold-based monitoring with intelligent capabilities including anomaly detection that identifies performance degradation patterns before they trigger SLO violations, predictive capacity planning that forecasts resource requirements based on traffic trends and seasonal patterns, automated bottleneck identification that correlates performance metrics across the technology stack to pinpoint root causes, and performance regression detection that automatically compares new release performance against historical baselines.</w:t>
      </w:r>
    </w:p>
    <w:p>
      <w:pPr>
        <w:pStyle w:val="Heading3"/>
        <w:spacing w:before="220" w:after="120"/>
      </w:pPr>
      <w:r>
        <w:rPr>
          <w:rFonts w:ascii="Arial" w:cs="Arial" w:eastAsia="Arial" w:hAnsi="Arial"/>
          <w:b/>
          <w:bCs/>
          <w:color w:val="4472C4"/>
          <w:sz w:val="24"/>
          <w:szCs w:val="24"/>
        </w:rPr>
        <w:t xml:space="preserve">VII.5.3 Chaos Engineering Framework</w:t>
      </w:r>
    </w:p>
    <w:p>
      <w:pPr>
        <w:spacing w:before="80" w:after="80" w:line="276"/>
        <w:jc w:val="both"/>
      </w:pPr>
      <w:r>
        <w:rPr>
          <w:rFonts w:ascii="Arial" w:cs="Arial" w:eastAsia="Arial" w:hAnsi="Arial"/>
          <w:color w:val="333333"/>
          <w:sz w:val="22"/>
          <w:szCs w:val="22"/>
        </w:rPr>
        <w:t xml:space="preserve">The chaos engineering program systematically tests system resilience by introducing controlled failures into production-like environments. The framework operates on the principle that proactive failure testing in controlled conditions is preferable to discovering weaknesses during real incidents:</w:t>
      </w:r>
    </w:p>
    <w:p>
      <w:pPr>
        <w:pStyle w:val="ListParagraph"/>
        <w:numPr>
          <w:ilvl w:val="0"/>
          <w:numId w:val="2"/>
        </w:numPr>
        <w:spacing w:before="40" w:after="40" w:line="276"/>
      </w:pPr>
      <w:r>
        <w:rPr>
          <w:rFonts w:ascii="Arial" w:cs="Arial" w:eastAsia="Arial" w:hAnsi="Arial"/>
          <w:b/>
          <w:bCs/>
          <w:color w:val="333333"/>
          <w:sz w:val="22"/>
          <w:szCs w:val="22"/>
        </w:rPr>
        <w:t xml:space="preserve">Steady State Hypothesis: </w:t>
      </w:r>
      <w:r>
        <w:rPr>
          <w:rFonts w:ascii="Arial" w:cs="Arial" w:eastAsia="Arial" w:hAnsi="Arial"/>
          <w:color w:val="333333"/>
          <w:sz w:val="22"/>
          <w:szCs w:val="22"/>
        </w:rPr>
        <w:t xml:space="preserve">Before each experiment, teams define the normal operating behavior they expect the system to maintain despite the injected failure.</w:t>
      </w:r>
    </w:p>
    <w:p>
      <w:pPr>
        <w:pStyle w:val="ListParagraph"/>
        <w:numPr>
          <w:ilvl w:val="0"/>
          <w:numId w:val="2"/>
        </w:numPr>
        <w:spacing w:before="40" w:after="40" w:line="276"/>
      </w:pPr>
      <w:r>
        <w:rPr>
          <w:rFonts w:ascii="Arial" w:cs="Arial" w:eastAsia="Arial" w:hAnsi="Arial"/>
          <w:b/>
          <w:bCs/>
          <w:color w:val="333333"/>
          <w:sz w:val="22"/>
          <w:szCs w:val="22"/>
        </w:rPr>
        <w:t xml:space="preserve">Failure Injection Catalog: </w:t>
      </w:r>
      <w:r>
        <w:rPr>
          <w:rFonts w:ascii="Arial" w:cs="Arial" w:eastAsia="Arial" w:hAnsi="Arial"/>
          <w:color w:val="333333"/>
          <w:sz w:val="22"/>
          <w:szCs w:val="22"/>
        </w:rPr>
        <w:t xml:space="preserve">A managed catalog of failure modes including network partitions, service crashes, resource exhaustion, dependency failures, and data corruption. Each failure type has defined blast radius controls.</w:t>
      </w:r>
    </w:p>
    <w:p>
      <w:pPr>
        <w:pStyle w:val="ListParagraph"/>
        <w:numPr>
          <w:ilvl w:val="0"/>
          <w:numId w:val="2"/>
        </w:numPr>
        <w:spacing w:before="40" w:after="40" w:line="276"/>
      </w:pPr>
      <w:r>
        <w:rPr>
          <w:rFonts w:ascii="Arial" w:cs="Arial" w:eastAsia="Arial" w:hAnsi="Arial"/>
          <w:b/>
          <w:bCs/>
          <w:color w:val="333333"/>
          <w:sz w:val="22"/>
          <w:szCs w:val="22"/>
        </w:rPr>
        <w:t xml:space="preserve">Automated Experiment Execution: </w:t>
      </w:r>
      <w:r>
        <w:rPr>
          <w:rFonts w:ascii="Arial" w:cs="Arial" w:eastAsia="Arial" w:hAnsi="Arial"/>
          <w:color w:val="333333"/>
          <w:sz w:val="22"/>
          <w:szCs w:val="22"/>
        </w:rPr>
        <w:t xml:space="preserve">Chaos experiments are executed through automated tooling that enforces safety controls, monitors system health during experiments, and automatically terminates experiments if safety thresholds are breached.</w:t>
      </w:r>
    </w:p>
    <w:p>
      <w:pPr>
        <w:pStyle w:val="ListParagraph"/>
        <w:numPr>
          <w:ilvl w:val="0"/>
          <w:numId w:val="2"/>
        </w:numPr>
        <w:spacing w:before="40" w:after="40" w:line="276"/>
      </w:pPr>
      <w:r>
        <w:rPr>
          <w:rFonts w:ascii="Arial" w:cs="Arial" w:eastAsia="Arial" w:hAnsi="Arial"/>
          <w:b/>
          <w:bCs/>
          <w:color w:val="333333"/>
          <w:sz w:val="22"/>
          <w:szCs w:val="22"/>
        </w:rPr>
        <w:t xml:space="preserve">Game Day Exercises: </w:t>
      </w:r>
      <w:r>
        <w:rPr>
          <w:rFonts w:ascii="Arial" w:cs="Arial" w:eastAsia="Arial" w:hAnsi="Arial"/>
          <w:color w:val="333333"/>
          <w:sz w:val="22"/>
          <w:szCs w:val="22"/>
        </w:rPr>
        <w:t xml:space="preserve">Quarterly exercises that combine multiple failure scenarios to test end-to-end system resilience and team incident response capabilities under realistic conditions.</w:t>
      </w:r>
    </w:p>
    <w:p>
      <w:pPr>
        <w:pStyle w:val="Heading3"/>
        <w:spacing w:before="220" w:after="120"/>
      </w:pPr>
      <w:r>
        <w:rPr>
          <w:rFonts w:ascii="Arial" w:cs="Arial" w:eastAsia="Arial" w:hAnsi="Arial"/>
          <w:b/>
          <w:bCs/>
          <w:color w:val="4472C4"/>
          <w:sz w:val="24"/>
          <w:szCs w:val="24"/>
        </w:rPr>
        <w:t xml:space="preserve">VII.5.4 Reliability Targets by Application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560"/>
        <w:gridCol w:w="20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Application Tier</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Availability SLO</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Latency P95</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Latency P99</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Error Budget</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Recovery Time</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Tier 1 (Mission Critical)</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99.99%</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100ms</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250ms</w:t>
            </w:r>
          </w:p>
        </w:tc>
        <w:tc>
          <w:tcPr>
            <w:tcW w:type="dxa" w:w="1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4.38 min/month</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minutes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Tier 2 (Business Critical)</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99.95%</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200ms</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500ms</w:t>
            </w:r>
          </w:p>
        </w:tc>
        <w:tc>
          <w:tcPr>
            <w:tcW w:type="dxa" w:w="1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21.9 min/month</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15 minutes</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Tier 3 (Business Support)</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99.9%</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500ms</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 second</w:t>
            </w:r>
          </w:p>
        </w:tc>
        <w:tc>
          <w:tcPr>
            <w:tcW w:type="dxa" w:w="1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43.8 min/month</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 hour</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Tier 4 (Internal Tools)</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99.5%</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 second</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3 seconds</w:t>
            </w:r>
          </w:p>
        </w:tc>
        <w:tc>
          <w:tcPr>
            <w:tcW w:type="dxa" w:w="1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3.65 hr/month</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4 hours</w:t>
            </w:r>
          </w:p>
        </w:tc>
      </w:tr>
    </w:tbl>
    <w:p>
      <w:r>
        <w:br w:type="page"/>
      </w:r>
    </w:p>
    <w:p>
      <w:pPr>
        <w:pStyle w:val="Heading2"/>
        <w:spacing w:before="280" w:after="160"/>
      </w:pPr>
      <w:r>
        <w:rPr>
          <w:rFonts w:ascii="Arial" w:cs="Arial" w:eastAsia="Arial" w:hAnsi="Arial"/>
          <w:b/>
          <w:bCs/>
          <w:color w:val="2E75B6"/>
          <w:sz w:val="28"/>
          <w:szCs w:val="28"/>
        </w:rPr>
        <w:t xml:space="preserve">VII.6 User Acceptance, Accessibility, and Compliance Testing</w:t>
      </w:r>
    </w:p>
    <w:p>
      <w:pPr>
        <w:pStyle w:val="Heading3"/>
        <w:spacing w:before="220" w:after="120"/>
      </w:pPr>
      <w:r>
        <w:rPr>
          <w:rFonts w:ascii="Arial" w:cs="Arial" w:eastAsia="Arial" w:hAnsi="Arial"/>
          <w:b/>
          <w:bCs/>
          <w:color w:val="4472C4"/>
          <w:sz w:val="24"/>
          <w:szCs w:val="24"/>
        </w:rPr>
        <w:t xml:space="preserve">VII.6.1 User Acceptance Testing Framework</w:t>
      </w:r>
    </w:p>
    <w:p>
      <w:pPr>
        <w:spacing w:before="80" w:after="80" w:line="276"/>
        <w:jc w:val="both"/>
      </w:pPr>
      <w:r>
        <w:rPr>
          <w:rFonts w:ascii="Arial" w:cs="Arial" w:eastAsia="Arial" w:hAnsi="Arial"/>
          <w:color w:val="333333"/>
          <w:sz w:val="22"/>
          <w:szCs w:val="22"/>
        </w:rPr>
        <w:t xml:space="preserve">User Acceptance Testing validates that delivered software meets business requirements and is fit for purpose from the end-user perspective. The UAT framework defines three modes of acceptance validation:</w:t>
      </w:r>
    </w:p>
    <w:p>
      <w:pPr>
        <w:pStyle w:val="ListParagraph"/>
        <w:numPr>
          <w:ilvl w:val="0"/>
          <w:numId w:val="2"/>
        </w:numPr>
        <w:spacing w:before="40" w:after="40" w:line="276"/>
      </w:pPr>
      <w:r>
        <w:rPr>
          <w:rFonts w:ascii="Arial" w:cs="Arial" w:eastAsia="Arial" w:hAnsi="Arial"/>
          <w:b/>
          <w:bCs/>
          <w:color w:val="333333"/>
          <w:sz w:val="22"/>
          <w:szCs w:val="22"/>
        </w:rPr>
        <w:t xml:space="preserve">Structured UAT: </w:t>
      </w:r>
      <w:r>
        <w:rPr>
          <w:rFonts w:ascii="Arial" w:cs="Arial" w:eastAsia="Arial" w:hAnsi="Arial"/>
          <w:color w:val="333333"/>
          <w:sz w:val="22"/>
          <w:szCs w:val="22"/>
        </w:rPr>
        <w:t xml:space="preserve">Business users execute predefined test scenarios derived from acceptance criteria. AI assists by generating scenario variations, identifying coverage gaps, and automating results collection and defect logging.</w:t>
      </w:r>
    </w:p>
    <w:p>
      <w:pPr>
        <w:pStyle w:val="ListParagraph"/>
        <w:numPr>
          <w:ilvl w:val="0"/>
          <w:numId w:val="2"/>
        </w:numPr>
        <w:spacing w:before="40" w:after="40" w:line="276"/>
      </w:pPr>
      <w:r>
        <w:rPr>
          <w:rFonts w:ascii="Arial" w:cs="Arial" w:eastAsia="Arial" w:hAnsi="Arial"/>
          <w:b/>
          <w:bCs/>
          <w:color w:val="333333"/>
          <w:sz w:val="22"/>
          <w:szCs w:val="22"/>
        </w:rPr>
        <w:t xml:space="preserve">Exploratory UAT: </w:t>
      </w:r>
      <w:r>
        <w:rPr>
          <w:rFonts w:ascii="Arial" w:cs="Arial" w:eastAsia="Arial" w:hAnsi="Arial"/>
          <w:color w:val="333333"/>
          <w:sz w:val="22"/>
          <w:szCs w:val="22"/>
        </w:rPr>
        <w:t xml:space="preserve">Experienced business users conduct unscripted testing guided by AI-generated testing charters that focus attention on high-risk areas and areas of recent change. Session-based test management captures findings systematically.</w:t>
      </w:r>
    </w:p>
    <w:p>
      <w:pPr>
        <w:pStyle w:val="ListParagraph"/>
        <w:numPr>
          <w:ilvl w:val="0"/>
          <w:numId w:val="2"/>
        </w:numPr>
        <w:spacing w:before="40" w:after="40" w:line="276"/>
      </w:pPr>
      <w:r>
        <w:rPr>
          <w:rFonts w:ascii="Arial" w:cs="Arial" w:eastAsia="Arial" w:hAnsi="Arial"/>
          <w:b/>
          <w:bCs/>
          <w:color w:val="333333"/>
          <w:sz w:val="22"/>
          <w:szCs w:val="22"/>
        </w:rPr>
        <w:t xml:space="preserve">Beta/Canary UAT: </w:t>
      </w:r>
      <w:r>
        <w:rPr>
          <w:rFonts w:ascii="Arial" w:cs="Arial" w:eastAsia="Arial" w:hAnsi="Arial"/>
          <w:color w:val="333333"/>
          <w:sz w:val="22"/>
          <w:szCs w:val="22"/>
        </w:rPr>
        <w:t xml:space="preserve">Selected production users access new features through controlled release mechanisms. Usage analytics, feedback collection, and error monitoring provide quantitative acceptance signals that complement formal UAT results.</w:t>
      </w:r>
    </w:p>
    <w:p>
      <w:pPr>
        <w:pStyle w:val="Heading3"/>
        <w:spacing w:before="220" w:after="120"/>
      </w:pPr>
      <w:r>
        <w:rPr>
          <w:rFonts w:ascii="Arial" w:cs="Arial" w:eastAsia="Arial" w:hAnsi="Arial"/>
          <w:b/>
          <w:bCs/>
          <w:color w:val="4472C4"/>
          <w:sz w:val="24"/>
          <w:szCs w:val="24"/>
        </w:rPr>
        <w:t xml:space="preserve">VII.6.2 Accessibility Testing Framework</w:t>
      </w:r>
    </w:p>
    <w:p>
      <w:pPr>
        <w:spacing w:before="80" w:after="80" w:line="276"/>
        <w:jc w:val="both"/>
      </w:pPr>
      <w:r>
        <w:rPr>
          <w:rFonts w:ascii="Arial" w:cs="Arial" w:eastAsia="Arial" w:hAnsi="Arial"/>
          <w:color w:val="333333"/>
          <w:sz w:val="22"/>
          <w:szCs w:val="22"/>
        </w:rPr>
        <w:t xml:space="preserve">The accessibility testing framework ensures compliance with WCAG 2.2 Level AA standards as a minimum baseline, with Level AAA targeted for public-facing applications. The framework integrates accessibility validation at multiple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Testing Level</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2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Automation Level</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Automated Scanning</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Axe-core, WAVE, Lighthouse integrated into CI/CD</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automated</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build</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Component Audit</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Keyboard navigation, screen reader, color contrast testing</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70% automated, 30% manual</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sprint</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Workflow Testing</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user journeys tested with assistive technologies</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40% automated, 60% manual</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release</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Expert Review</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Certified accessibility specialist evaluation</w:t>
            </w:r>
          </w:p>
        </w:tc>
        <w:tc>
          <w:tcPr>
            <w:tcW w:type="dxa" w:w="2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Manual with tooling support</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Quarterly</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User Testing</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Testing with users who have disabilities</w:t>
            </w:r>
          </w:p>
        </w:tc>
        <w:tc>
          <w:tcPr>
            <w:tcW w:type="dxa" w:w="23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Manual</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Semi-annually</w:t>
            </w:r>
          </w:p>
        </w:tc>
      </w:tr>
    </w:tbl>
    <w:p>
      <w:pPr>
        <w:pStyle w:val="Heading3"/>
        <w:spacing w:before="220" w:after="120"/>
      </w:pPr>
      <w:r>
        <w:rPr>
          <w:rFonts w:ascii="Arial" w:cs="Arial" w:eastAsia="Arial" w:hAnsi="Arial"/>
          <w:b/>
          <w:bCs/>
          <w:color w:val="4472C4"/>
          <w:sz w:val="24"/>
          <w:szCs w:val="24"/>
        </w:rPr>
        <w:t xml:space="preserve">VII.6.3 Regulatory Compliance Testing</w:t>
      </w:r>
    </w:p>
    <w:p>
      <w:pPr>
        <w:spacing w:before="80" w:after="80" w:line="276"/>
        <w:jc w:val="both"/>
      </w:pPr>
      <w:r>
        <w:rPr>
          <w:rFonts w:ascii="Arial" w:cs="Arial" w:eastAsia="Arial" w:hAnsi="Arial"/>
          <w:color w:val="333333"/>
          <w:sz w:val="22"/>
          <w:szCs w:val="22"/>
        </w:rPr>
        <w:t xml:space="preserve">Compliance testing validates that applications satisfy regulatory requirements applicable to the organization. The framework implements compliance testing as a standard pipeline stage rather than a separate activity:</w:t>
      </w:r>
    </w:p>
    <w:p>
      <w:pPr>
        <w:pStyle w:val="ListParagraph"/>
        <w:numPr>
          <w:ilvl w:val="0"/>
          <w:numId w:val="2"/>
        </w:numPr>
        <w:spacing w:before="40" w:after="40" w:line="276"/>
      </w:pPr>
      <w:r>
        <w:rPr>
          <w:rFonts w:ascii="Arial" w:cs="Arial" w:eastAsia="Arial" w:hAnsi="Arial"/>
          <w:b/>
          <w:bCs/>
          <w:color w:val="333333"/>
          <w:sz w:val="22"/>
          <w:szCs w:val="22"/>
        </w:rPr>
        <w:t xml:space="preserve">Compliance-as-Code: </w:t>
      </w:r>
      <w:r>
        <w:rPr>
          <w:rFonts w:ascii="Arial" w:cs="Arial" w:eastAsia="Arial" w:hAnsi="Arial"/>
          <w:color w:val="333333"/>
          <w:sz w:val="22"/>
          <w:szCs w:val="22"/>
        </w:rPr>
        <w:t xml:space="preserve">Regulatory requirements are codified as executable test specifications that run automatically within the CI/CD pipeline. This approach ensures that compliance is validated continuously rather than periodically.</w:t>
      </w:r>
    </w:p>
    <w:p>
      <w:pPr>
        <w:pStyle w:val="ListParagraph"/>
        <w:numPr>
          <w:ilvl w:val="0"/>
          <w:numId w:val="2"/>
        </w:numPr>
        <w:spacing w:before="40" w:after="40" w:line="276"/>
      </w:pPr>
      <w:r>
        <w:rPr>
          <w:rFonts w:ascii="Arial" w:cs="Arial" w:eastAsia="Arial" w:hAnsi="Arial"/>
          <w:b/>
          <w:bCs/>
          <w:color w:val="333333"/>
          <w:sz w:val="22"/>
          <w:szCs w:val="22"/>
        </w:rPr>
        <w:t xml:space="preserve">Evidence Automation: </w:t>
      </w:r>
      <w:r>
        <w:rPr>
          <w:rFonts w:ascii="Arial" w:cs="Arial" w:eastAsia="Arial" w:hAnsi="Arial"/>
          <w:color w:val="333333"/>
          <w:sz w:val="22"/>
          <w:szCs w:val="22"/>
        </w:rPr>
        <w:t xml:space="preserve">Compliance test execution automatically generates evidence artifacts including test results, screenshots, data flow validations, and access control verifications that satisfy audit requirements.</w:t>
      </w:r>
    </w:p>
    <w:p>
      <w:pPr>
        <w:pStyle w:val="ListParagraph"/>
        <w:numPr>
          <w:ilvl w:val="0"/>
          <w:numId w:val="2"/>
        </w:numPr>
        <w:spacing w:before="40" w:after="40" w:line="276"/>
      </w:pPr>
      <w:r>
        <w:rPr>
          <w:rFonts w:ascii="Arial" w:cs="Arial" w:eastAsia="Arial" w:hAnsi="Arial"/>
          <w:b/>
          <w:bCs/>
          <w:color w:val="333333"/>
          <w:sz w:val="22"/>
          <w:szCs w:val="22"/>
        </w:rPr>
        <w:t xml:space="preserve">Cross-Regulation Optimization: </w:t>
      </w:r>
      <w:r>
        <w:rPr>
          <w:rFonts w:ascii="Arial" w:cs="Arial" w:eastAsia="Arial" w:hAnsi="Arial"/>
          <w:color w:val="333333"/>
          <w:sz w:val="22"/>
          <w:szCs w:val="22"/>
        </w:rPr>
        <w:t xml:space="preserve">Many regulations share overlapping requirements. The framework maps test scenarios to multiple regulatory obligations, eliminating redundant testing while providing evidence for each regulation independently.</w:t>
      </w:r>
    </w:p>
    <w:p>
      <w:pPr>
        <w:pStyle w:val="ListParagraph"/>
        <w:numPr>
          <w:ilvl w:val="0"/>
          <w:numId w:val="2"/>
        </w:numPr>
        <w:spacing w:before="40" w:after="40" w:line="276"/>
      </w:pPr>
      <w:r>
        <w:rPr>
          <w:rFonts w:ascii="Arial" w:cs="Arial" w:eastAsia="Arial" w:hAnsi="Arial"/>
          <w:b/>
          <w:bCs/>
          <w:color w:val="333333"/>
          <w:sz w:val="22"/>
          <w:szCs w:val="22"/>
        </w:rPr>
        <w:t xml:space="preserve">Compliance Regression Testing: </w:t>
      </w:r>
      <w:r>
        <w:rPr>
          <w:rFonts w:ascii="Arial" w:cs="Arial" w:eastAsia="Arial" w:hAnsi="Arial"/>
          <w:color w:val="333333"/>
          <w:sz w:val="22"/>
          <w:szCs w:val="22"/>
        </w:rPr>
        <w:t xml:space="preserve">Dedicated regression suites ensure that code changes do not inadvertently violate previously satisfied compliance requirements. These suites are maintained jointly by development teams and compliance officers.</w:t>
      </w:r>
    </w:p>
    <w:p>
      <w:r>
        <w:br w:type="page"/>
      </w:r>
    </w:p>
    <w:p>
      <w:pPr>
        <w:pStyle w:val="Heading2"/>
        <w:spacing w:before="280" w:after="160"/>
      </w:pPr>
      <w:r>
        <w:rPr>
          <w:rFonts w:ascii="Arial" w:cs="Arial" w:eastAsia="Arial" w:hAnsi="Arial"/>
          <w:b/>
          <w:bCs/>
          <w:color w:val="2E75B6"/>
          <w:sz w:val="28"/>
          <w:szCs w:val="28"/>
        </w:rPr>
        <w:t xml:space="preserve">VII.7 Regression Testing and Continuous Quality Monitoring</w:t>
      </w:r>
    </w:p>
    <w:p>
      <w:pPr>
        <w:pStyle w:val="Heading3"/>
        <w:spacing w:before="220" w:after="120"/>
      </w:pPr>
      <w:r>
        <w:rPr>
          <w:rFonts w:ascii="Arial" w:cs="Arial" w:eastAsia="Arial" w:hAnsi="Arial"/>
          <w:b/>
          <w:bCs/>
          <w:color w:val="4472C4"/>
          <w:sz w:val="24"/>
          <w:szCs w:val="24"/>
        </w:rPr>
        <w:t xml:space="preserve">VII.7.1 Intelligent Regression Testing</w:t>
      </w:r>
    </w:p>
    <w:p>
      <w:pPr>
        <w:spacing w:before="80" w:after="80" w:line="276"/>
        <w:jc w:val="both"/>
      </w:pPr>
      <w:r>
        <w:rPr>
          <w:rFonts w:ascii="Arial" w:cs="Arial" w:eastAsia="Arial" w:hAnsi="Arial"/>
          <w:color w:val="333333"/>
          <w:sz w:val="22"/>
          <w:szCs w:val="22"/>
        </w:rPr>
        <w:t xml:space="preserve">The regression testing strategy uses AI to transform traditional comprehensive regression suites into targeted, risk-based validation that maintains quality assurance while dramatically reducing execution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Regression Strategy</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2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AI Optimization</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Change-Based Regression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code commit</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Tests correlated to changed code paths</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ML model predicts impacted tests with 95% accuracy</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Risk-Based Regression</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deployment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Tests weighted by business risk and historical defect probability</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prioritizes tests by expected defect yield</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Full Regression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Major release, quarterly</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Complete test suite execution</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identifies redundant tests for suite optimization</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Visual Regression</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Every UI change</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Screenshot comparison across browsers and breakpoints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AI-powered visual diff reduces false positives by 80%</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Regression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Schema or ETL changes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integrity, transformation, and downstream impact tests</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maps data lineage to predict impacted consumers</w:t>
            </w:r>
          </w:p>
        </w:tc>
      </w:tr>
    </w:tbl>
    <w:p>
      <w:pPr>
        <w:pStyle w:val="Heading3"/>
        <w:spacing w:before="220" w:after="120"/>
      </w:pPr>
      <w:r>
        <w:rPr>
          <w:rFonts w:ascii="Arial" w:cs="Arial" w:eastAsia="Arial" w:hAnsi="Arial"/>
          <w:b/>
          <w:bCs/>
          <w:color w:val="4472C4"/>
          <w:sz w:val="24"/>
          <w:szCs w:val="24"/>
        </w:rPr>
        <w:t xml:space="preserve">VII.7.2 Continuous Quality Monitoring</w:t>
      </w:r>
    </w:p>
    <w:p>
      <w:pPr>
        <w:spacing w:before="80" w:after="80" w:line="276"/>
        <w:jc w:val="both"/>
      </w:pPr>
      <w:r>
        <w:rPr>
          <w:rFonts w:ascii="Arial" w:cs="Arial" w:eastAsia="Arial" w:hAnsi="Arial"/>
          <w:color w:val="333333"/>
          <w:sz w:val="22"/>
          <w:szCs w:val="22"/>
        </w:rPr>
        <w:t xml:space="preserve">Quality monitoring extends testing beyond the pre-production pipeline into live production environments, providing ongoing assurance that deployed systems continue to meet quality standards:</w:t>
      </w:r>
    </w:p>
    <w:p>
      <w:pPr>
        <w:pStyle w:val="ListParagraph"/>
        <w:numPr>
          <w:ilvl w:val="0"/>
          <w:numId w:val="2"/>
        </w:numPr>
        <w:spacing w:before="40" w:after="40" w:line="276"/>
      </w:pPr>
      <w:r>
        <w:rPr>
          <w:rFonts w:ascii="Arial" w:cs="Arial" w:eastAsia="Arial" w:hAnsi="Arial"/>
          <w:b/>
          <w:bCs/>
          <w:color w:val="333333"/>
          <w:sz w:val="22"/>
          <w:szCs w:val="22"/>
        </w:rPr>
        <w:t xml:space="preserve">Synthetic Monitoring: </w:t>
      </w:r>
      <w:r>
        <w:rPr>
          <w:rFonts w:ascii="Arial" w:cs="Arial" w:eastAsia="Arial" w:hAnsi="Arial"/>
          <w:color w:val="333333"/>
          <w:sz w:val="22"/>
          <w:szCs w:val="22"/>
        </w:rPr>
        <w:t xml:space="preserve">Automated synthetic transactions continuously exercise critical user journeys in production, providing proactive detection of functional regressions, performance degradation, and integration failures before real users are affected.</w:t>
      </w:r>
    </w:p>
    <w:p>
      <w:pPr>
        <w:pStyle w:val="ListParagraph"/>
        <w:numPr>
          <w:ilvl w:val="0"/>
          <w:numId w:val="2"/>
        </w:numPr>
        <w:spacing w:before="40" w:after="40" w:line="276"/>
      </w:pPr>
      <w:r>
        <w:rPr>
          <w:rFonts w:ascii="Arial" w:cs="Arial" w:eastAsia="Arial" w:hAnsi="Arial"/>
          <w:b/>
          <w:bCs/>
          <w:color w:val="333333"/>
          <w:sz w:val="22"/>
          <w:szCs w:val="22"/>
        </w:rPr>
        <w:t xml:space="preserve">Real User Monitoring: </w:t>
      </w:r>
      <w:r>
        <w:rPr>
          <w:rFonts w:ascii="Arial" w:cs="Arial" w:eastAsia="Arial" w:hAnsi="Arial"/>
          <w:color w:val="333333"/>
          <w:sz w:val="22"/>
          <w:szCs w:val="22"/>
        </w:rPr>
        <w:t xml:space="preserve">Client-side instrumentation captures actual user experience metrics including page load times, interaction responsiveness, error rates, and completion rates for key workflows.</w:t>
      </w:r>
    </w:p>
    <w:p>
      <w:pPr>
        <w:pStyle w:val="ListParagraph"/>
        <w:numPr>
          <w:ilvl w:val="0"/>
          <w:numId w:val="2"/>
        </w:numPr>
        <w:spacing w:before="40" w:after="40" w:line="276"/>
      </w:pPr>
      <w:r>
        <w:rPr>
          <w:rFonts w:ascii="Arial" w:cs="Arial" w:eastAsia="Arial" w:hAnsi="Arial"/>
          <w:b/>
          <w:bCs/>
          <w:color w:val="333333"/>
          <w:sz w:val="22"/>
          <w:szCs w:val="22"/>
        </w:rPr>
        <w:t xml:space="preserve">Error Intelligence: </w:t>
      </w:r>
      <w:r>
        <w:rPr>
          <w:rFonts w:ascii="Arial" w:cs="Arial" w:eastAsia="Arial" w:hAnsi="Arial"/>
          <w:color w:val="333333"/>
          <w:sz w:val="22"/>
          <w:szCs w:val="22"/>
        </w:rPr>
        <w:t xml:space="preserve">AI-powered error aggregation groups related errors by root cause, identifies new error patterns, and predicts error volume trends. Automatic severity classification routes errors to appropriate response teams.</w:t>
      </w:r>
    </w:p>
    <w:p>
      <w:pPr>
        <w:pStyle w:val="ListParagraph"/>
        <w:numPr>
          <w:ilvl w:val="0"/>
          <w:numId w:val="2"/>
        </w:numPr>
        <w:spacing w:before="40" w:after="40" w:line="276"/>
      </w:pPr>
      <w:r>
        <w:rPr>
          <w:rFonts w:ascii="Arial" w:cs="Arial" w:eastAsia="Arial" w:hAnsi="Arial"/>
          <w:b/>
          <w:bCs/>
          <w:color w:val="333333"/>
          <w:sz w:val="22"/>
          <w:szCs w:val="22"/>
        </w:rPr>
        <w:t xml:space="preserve">Quality Anomaly Detection: </w:t>
      </w:r>
      <w:r>
        <w:rPr>
          <w:rFonts w:ascii="Arial" w:cs="Arial" w:eastAsia="Arial" w:hAnsi="Arial"/>
          <w:color w:val="333333"/>
          <w:sz w:val="22"/>
          <w:szCs w:val="22"/>
        </w:rPr>
        <w:t xml:space="preserve">Machine learning models trained on historical quality metrics detect abnormal patterns in error rates, response times, and user behavior that may indicate quality issues not captured by threshold-based alerting.</w:t>
      </w:r>
    </w:p>
    <w:p>
      <w:pPr>
        <w:pStyle w:val="Heading3"/>
        <w:spacing w:before="220" w:after="120"/>
      </w:pPr>
      <w:r>
        <w:rPr>
          <w:rFonts w:ascii="Arial" w:cs="Arial" w:eastAsia="Arial" w:hAnsi="Arial"/>
          <w:b/>
          <w:bCs/>
          <w:color w:val="4472C4"/>
          <w:sz w:val="24"/>
          <w:szCs w:val="24"/>
        </w:rPr>
        <w:t xml:space="preserve">VII.7.3 Test Suite Health Management</w:t>
      </w:r>
    </w:p>
    <w:p>
      <w:pPr>
        <w:spacing w:before="80" w:after="80" w:line="276"/>
        <w:jc w:val="both"/>
      </w:pPr>
      <w:r>
        <w:rPr>
          <w:rFonts w:ascii="Arial" w:cs="Arial" w:eastAsia="Arial" w:hAnsi="Arial"/>
          <w:color w:val="333333"/>
          <w:sz w:val="22"/>
          <w:szCs w:val="22"/>
        </w:rPr>
        <w:t xml:space="preserve">The framework implements continuous management of test suite health to prevent the gradual degradation of testing effectiveness. Automated analysis tracks test suite coverage trends to ensure coverage does not decline over time, execution time trends to detect test suite bloat, defect detection effectiveness measured by the ratio of defects found by tests versus those escaping to production, test maintenance cost measured by developer time spent maintaining versus creating tests, and dead test identification to remove tests that have not detected defects in twelve months and no longer cover active code paths. Monthly test suite health reports are reviewed by engineering leadership, and improvement actions are tracked as part of the continuous improvement program.</w:t>
      </w:r>
    </w:p>
    <w:p>
      <w:r>
        <w:br w:type="page"/>
      </w:r>
    </w:p>
    <w:p>
      <w:pPr>
        <w:pStyle w:val="Heading2"/>
        <w:spacing w:before="280" w:after="160"/>
      </w:pPr>
      <w:r>
        <w:rPr>
          <w:rFonts w:ascii="Arial" w:cs="Arial" w:eastAsia="Arial" w:hAnsi="Arial"/>
          <w:b/>
          <w:bCs/>
          <w:color w:val="2E75B6"/>
          <w:sz w:val="28"/>
          <w:szCs w:val="28"/>
        </w:rPr>
        <w:t xml:space="preserve">VII.8 Test Environment and Test Data Management</w:t>
      </w:r>
    </w:p>
    <w:p>
      <w:pPr>
        <w:pStyle w:val="Heading3"/>
        <w:spacing w:before="220" w:after="120"/>
      </w:pPr>
      <w:r>
        <w:rPr>
          <w:rFonts w:ascii="Arial" w:cs="Arial" w:eastAsia="Arial" w:hAnsi="Arial"/>
          <w:b/>
          <w:bCs/>
          <w:color w:val="4472C4"/>
          <w:sz w:val="24"/>
          <w:szCs w:val="24"/>
        </w:rPr>
        <w:t xml:space="preserve">VII.8.1 Test Environment Architecture</w:t>
      </w:r>
    </w:p>
    <w:p>
      <w:pPr>
        <w:spacing w:before="80" w:after="80" w:line="276"/>
        <w:jc w:val="both"/>
      </w:pPr>
      <w:r>
        <w:rPr>
          <w:rFonts w:ascii="Arial" w:cs="Arial" w:eastAsia="Arial" w:hAnsi="Arial"/>
          <w:color w:val="333333"/>
          <w:sz w:val="22"/>
          <w:szCs w:val="22"/>
        </w:rPr>
        <w:t xml:space="preserve">The test environment architecture provides development teams with consistent, production-representative environments on demand while managing cost and resource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960"/>
        <w:gridCol w:w="16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Environment Type</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Provisioning</w:t>
            </w:r>
          </w:p>
        </w:tc>
        <w:tc>
          <w:tcPr>
            <w:tcW w:type="dxa" w:w="1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 Profile</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Lifespan</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Developer Sandbox</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Individual development and unit testing</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Self-service, &lt; 5 minutes</w:t>
            </w:r>
          </w:p>
        </w:tc>
        <w:tc>
          <w:tcPr>
            <w:tcW w:type="dxa" w:w="19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Minimal seed data</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Ephemeral, per session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Integration Environment</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Cross-service integration testing</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Automated, per pipeline</w:t>
            </w:r>
          </w:p>
        </w:tc>
        <w:tc>
          <w:tcPr>
            <w:tcW w:type="dxa" w:w="1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Subset of production</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 pipeline execution</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Staging</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Pre-production validation</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Scheduled daily refresh</w:t>
            </w:r>
          </w:p>
        </w:tc>
        <w:tc>
          <w:tcPr>
            <w:tcW w:type="dxa" w:w="19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Masked production replica</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Persistent, daily refresh</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Performance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Load and stress testing</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On-demand, capacity-matched</w:t>
            </w:r>
          </w:p>
        </w:tc>
        <w:tc>
          <w:tcPr>
            <w:tcW w:type="dxa" w:w="1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Production-scale volumes</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Reserved, shared</w:t>
            </w:r>
          </w:p>
        </w:tc>
      </w:tr>
      <w:tr>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UAT</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 acceptance testing</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Sprint-aligned provisioning</w:t>
            </w:r>
          </w:p>
        </w:tc>
        <w:tc>
          <w:tcPr>
            <w:tcW w:type="dxa" w:w="19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Business-curated scenarios</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Sprint duration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Chaos/Resilience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Failure injection and recovery testing</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Dedicated, isolated</w:t>
            </w:r>
          </w:p>
        </w:tc>
        <w:tc>
          <w:tcPr>
            <w:tcW w:type="dxa" w:w="1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Production-representative</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Persistent, isolated</w:t>
            </w:r>
          </w:p>
        </w:tc>
      </w:tr>
    </w:tbl>
    <w:p>
      <w:pPr>
        <w:pStyle w:val="Heading3"/>
        <w:spacing w:before="220" w:after="120"/>
      </w:pPr>
      <w:r>
        <w:rPr>
          <w:rFonts w:ascii="Arial" w:cs="Arial" w:eastAsia="Arial" w:hAnsi="Arial"/>
          <w:b/>
          <w:bCs/>
          <w:color w:val="4472C4"/>
          <w:sz w:val="24"/>
          <w:szCs w:val="24"/>
        </w:rPr>
        <w:t xml:space="preserve">VII.8.2 Test Data Management Platform</w:t>
      </w:r>
    </w:p>
    <w:p>
      <w:pPr>
        <w:spacing w:before="80" w:after="80" w:line="276"/>
        <w:jc w:val="both"/>
      </w:pPr>
      <w:r>
        <w:rPr>
          <w:rFonts w:ascii="Arial" w:cs="Arial" w:eastAsia="Arial" w:hAnsi="Arial"/>
          <w:color w:val="333333"/>
          <w:sz w:val="22"/>
          <w:szCs w:val="22"/>
        </w:rPr>
        <w:t xml:space="preserve">The Test Data Management platform addresses the fundamental challenge of providing realistic, compliant, and consistent test data across all testing activities:</w:t>
      </w:r>
    </w:p>
    <w:p>
      <w:pPr>
        <w:pStyle w:val="ListParagraph"/>
        <w:numPr>
          <w:ilvl w:val="0"/>
          <w:numId w:val="2"/>
        </w:numPr>
        <w:spacing w:before="40" w:after="40" w:line="276"/>
      </w:pPr>
      <w:r>
        <w:rPr>
          <w:rFonts w:ascii="Arial" w:cs="Arial" w:eastAsia="Arial" w:hAnsi="Arial"/>
          <w:b/>
          <w:bCs/>
          <w:color w:val="333333"/>
          <w:sz w:val="22"/>
          <w:szCs w:val="22"/>
        </w:rPr>
        <w:t xml:space="preserve">Data Masking and Anonymization: </w:t>
      </w:r>
      <w:r>
        <w:rPr>
          <w:rFonts w:ascii="Arial" w:cs="Arial" w:eastAsia="Arial" w:hAnsi="Arial"/>
          <w:color w:val="333333"/>
          <w:sz w:val="22"/>
          <w:szCs w:val="22"/>
        </w:rPr>
        <w:t xml:space="preserve">Production data is systematically transformed using format-preserving encryption, tokenization, and statistical anonymization to protect sensitive information while preserving data relationships and statistical properties essential for realistic testing.</w:t>
      </w:r>
    </w:p>
    <w:p>
      <w:pPr>
        <w:pStyle w:val="ListParagraph"/>
        <w:numPr>
          <w:ilvl w:val="0"/>
          <w:numId w:val="2"/>
        </w:numPr>
        <w:spacing w:before="40" w:after="40" w:line="276"/>
      </w:pPr>
      <w:r>
        <w:rPr>
          <w:rFonts w:ascii="Arial" w:cs="Arial" w:eastAsia="Arial" w:hAnsi="Arial"/>
          <w:b/>
          <w:bCs/>
          <w:color w:val="333333"/>
          <w:sz w:val="22"/>
          <w:szCs w:val="22"/>
        </w:rPr>
        <w:t xml:space="preserve">Synthetic Data Generation: </w:t>
      </w:r>
      <w:r>
        <w:rPr>
          <w:rFonts w:ascii="Arial" w:cs="Arial" w:eastAsia="Arial" w:hAnsi="Arial"/>
          <w:color w:val="333333"/>
          <w:sz w:val="22"/>
          <w:szCs w:val="22"/>
        </w:rPr>
        <w:t xml:space="preserve">AI-powered synthetic data generation creates realistic test data that maintains statistical fidelity to production distributions without containing any real personal information. Particularly valuable for testing edge cases and rare scenarios.</w:t>
      </w:r>
    </w:p>
    <w:p>
      <w:pPr>
        <w:pStyle w:val="ListParagraph"/>
        <w:numPr>
          <w:ilvl w:val="0"/>
          <w:numId w:val="2"/>
        </w:numPr>
        <w:spacing w:before="40" w:after="40" w:line="276"/>
      </w:pPr>
      <w:r>
        <w:rPr>
          <w:rFonts w:ascii="Arial" w:cs="Arial" w:eastAsia="Arial" w:hAnsi="Arial"/>
          <w:b/>
          <w:bCs/>
          <w:color w:val="333333"/>
          <w:sz w:val="22"/>
          <w:szCs w:val="22"/>
        </w:rPr>
        <w:t xml:space="preserve">Data Subsetting: </w:t>
      </w:r>
      <w:r>
        <w:rPr>
          <w:rFonts w:ascii="Arial" w:cs="Arial" w:eastAsia="Arial" w:hAnsi="Arial"/>
          <w:color w:val="333333"/>
          <w:sz w:val="22"/>
          <w:szCs w:val="22"/>
        </w:rPr>
        <w:t xml:space="preserve">Intelligent subsetting algorithms extract representative samples from production databases, maintaining referential integrity across tables and preserving the data distributions necessary for valid testing.</w:t>
      </w:r>
    </w:p>
    <w:p>
      <w:pPr>
        <w:pStyle w:val="ListParagraph"/>
        <w:numPr>
          <w:ilvl w:val="0"/>
          <w:numId w:val="2"/>
        </w:numPr>
        <w:spacing w:before="40" w:after="40" w:line="276"/>
      </w:pPr>
      <w:r>
        <w:rPr>
          <w:rFonts w:ascii="Arial" w:cs="Arial" w:eastAsia="Arial" w:hAnsi="Arial"/>
          <w:b/>
          <w:bCs/>
          <w:color w:val="333333"/>
          <w:sz w:val="22"/>
          <w:szCs w:val="22"/>
        </w:rPr>
        <w:t xml:space="preserve">Data Versioning: </w:t>
      </w:r>
      <w:r>
        <w:rPr>
          <w:rFonts w:ascii="Arial" w:cs="Arial" w:eastAsia="Arial" w:hAnsi="Arial"/>
          <w:color w:val="333333"/>
          <w:sz w:val="22"/>
          <w:szCs w:val="22"/>
        </w:rPr>
        <w:t xml:space="preserve">Test datasets are versioned and tagged to enable reproducible test execution and to support investigation of test failures by reconstructing the exact data conditions under which they occurred.</w:t>
      </w:r>
    </w:p>
    <w:p>
      <w:pPr>
        <w:pStyle w:val="ListParagraph"/>
        <w:numPr>
          <w:ilvl w:val="0"/>
          <w:numId w:val="2"/>
        </w:numPr>
        <w:spacing w:before="40" w:after="40" w:line="276"/>
      </w:pPr>
      <w:r>
        <w:rPr>
          <w:rFonts w:ascii="Arial" w:cs="Arial" w:eastAsia="Arial" w:hAnsi="Arial"/>
          <w:b/>
          <w:bCs/>
          <w:color w:val="333333"/>
          <w:sz w:val="22"/>
          <w:szCs w:val="22"/>
        </w:rPr>
        <w:t xml:space="preserve">Data Refresh Orchestration: </w:t>
      </w:r>
      <w:r>
        <w:rPr>
          <w:rFonts w:ascii="Arial" w:cs="Arial" w:eastAsia="Arial" w:hAnsi="Arial"/>
          <w:color w:val="333333"/>
          <w:sz w:val="22"/>
          <w:szCs w:val="22"/>
        </w:rPr>
        <w:t xml:space="preserve">Automated workflows refresh test environments with current, masked production data on defined schedules, ensuring that test data remains representative of evolving production patterns.</w:t>
      </w:r>
    </w:p>
    <w:p>
      <w:pPr>
        <w:pStyle w:val="Heading3"/>
        <w:spacing w:before="220" w:after="120"/>
      </w:pPr>
      <w:r>
        <w:rPr>
          <w:rFonts w:ascii="Arial" w:cs="Arial" w:eastAsia="Arial" w:hAnsi="Arial"/>
          <w:b/>
          <w:bCs/>
          <w:color w:val="4472C4"/>
          <w:sz w:val="24"/>
          <w:szCs w:val="24"/>
        </w:rPr>
        <w:t xml:space="preserve">VII.8.3 Environment Cost Optimization</w:t>
      </w:r>
    </w:p>
    <w:p>
      <w:pPr>
        <w:spacing w:before="80" w:after="80" w:line="276"/>
        <w:jc w:val="both"/>
      </w:pPr>
      <w:r>
        <w:rPr>
          <w:rFonts w:ascii="Arial" w:cs="Arial" w:eastAsia="Arial" w:hAnsi="Arial"/>
          <w:color w:val="333333"/>
          <w:sz w:val="22"/>
          <w:szCs w:val="22"/>
        </w:rPr>
        <w:t xml:space="preserve">AI-driven environment management optimizes infrastructure costs through predictive scheduling that provisions environments based on development team activity patterns and sprint schedules, automatic scaling that adjusts environment resources based on actual utilization rather than peak provisioning, shared resource pooling that enables multiple teams to share expensive infrastructure components like database clusters and message brokers with isolation controls, and idle detection that automatically hibernates or terminates environments that have been inactive beyond configured thresholds.</w:t>
      </w:r>
    </w:p>
    <w:p>
      <w:r>
        <w:br w:type="page"/>
      </w:r>
    </w:p>
    <w:p>
      <w:pPr>
        <w:pStyle w:val="Heading2"/>
        <w:spacing w:before="280" w:after="160"/>
      </w:pPr>
      <w:r>
        <w:rPr>
          <w:rFonts w:ascii="Arial" w:cs="Arial" w:eastAsia="Arial" w:hAnsi="Arial"/>
          <w:b/>
          <w:bCs/>
          <w:color w:val="2E75B6"/>
          <w:sz w:val="28"/>
          <w:szCs w:val="28"/>
        </w:rPr>
        <w:t xml:space="preserve">VII.9 Quality Metrics, KPIs, and Reporting</w:t>
      </w:r>
    </w:p>
    <w:p>
      <w:pPr>
        <w:pStyle w:val="Heading3"/>
        <w:spacing w:before="220" w:after="120"/>
      </w:pPr>
      <w:r>
        <w:rPr>
          <w:rFonts w:ascii="Arial" w:cs="Arial" w:eastAsia="Arial" w:hAnsi="Arial"/>
          <w:b/>
          <w:bCs/>
          <w:color w:val="4472C4"/>
          <w:sz w:val="24"/>
          <w:szCs w:val="24"/>
        </w:rPr>
        <w:t xml:space="preserve">VII.9.1 Enterprise Quality Metrics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 Category</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Measurement Method</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Code Quality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Code coverage (unit tests)</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90% for new code</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Coverage tool integration</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Code Quality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Static analysis findings (critical)</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Zero critical/high findings</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SAST pipeline stage</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Code Quality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Technical debt ratio</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 of development effort</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Code analysis tooling</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Effectiveness</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Defect detection efficiency</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85% pre-production detection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Defect tracking analysis</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Effectiveness</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automation rate</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90% of regression tests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management platform</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Effectiveness</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Flaky test rate</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2% of test suite</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analytics engine</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Delivery Quality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Production defect density</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0.5 per KLOC per release</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Defect tracking system</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Delivery Quality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Mean time to detect (MTTD)</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10 minutes for P1 issues</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Monitoring platform</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Delivery Quality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Mean time to recover (MTTR)</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30 minutes for P1 issues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Incident management system</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User Experience</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Customer-reported defects</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Month-over-month reduction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Support ticket analysis</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User Experience</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Accessibility compliance</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WCAG 2.2 AA</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Automated + manual audits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Model Quality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accuracy vs baseline</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Baseline for each model</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monitoring platform</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Model Quality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Fairness metric compliance</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All metrics within thresholds</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Bias monitoring system</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Model Quality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 drift detection time</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4 hours from onset</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Drift detection system</w:t>
            </w:r>
          </w:p>
        </w:tc>
      </w:tr>
      <w:tr>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Process Efficiency</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 cycle time reduction</w:t>
            </w:r>
          </w:p>
        </w:tc>
        <w:tc>
          <w:tcPr>
            <w:tcW w:type="dxa" w:w="27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 year-over-year improvement</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Pipeline analytics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Process Efficiency</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Environment provisioning time</w:t>
            </w:r>
          </w:p>
        </w:tc>
        <w:tc>
          <w:tcPr>
            <w:tcW w:type="dxa" w:w="2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15 minutes average</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Environment platform metrics</w:t>
            </w:r>
          </w:p>
        </w:tc>
      </w:tr>
    </w:tbl>
    <w:p>
      <w:pPr>
        <w:pStyle w:val="Heading3"/>
        <w:spacing w:before="220" w:after="120"/>
      </w:pPr>
      <w:r>
        <w:rPr>
          <w:rFonts w:ascii="Arial" w:cs="Arial" w:eastAsia="Arial" w:hAnsi="Arial"/>
          <w:b/>
          <w:bCs/>
          <w:color w:val="4472C4"/>
          <w:sz w:val="24"/>
          <w:szCs w:val="24"/>
        </w:rPr>
        <w:t xml:space="preserve">VII.9.2 Quality Dashboards and Reporting</w:t>
      </w:r>
    </w:p>
    <w:p>
      <w:pPr>
        <w:spacing w:before="80" w:after="80" w:line="276"/>
        <w:jc w:val="both"/>
      </w:pPr>
      <w:r>
        <w:rPr>
          <w:rFonts w:ascii="Arial" w:cs="Arial" w:eastAsia="Arial" w:hAnsi="Arial"/>
          <w:color w:val="333333"/>
          <w:sz w:val="22"/>
          <w:szCs w:val="22"/>
        </w:rPr>
        <w:t xml:space="preserve">The quality reporting framework provides role-appropriate visibility into quality status across the enterprise:</w:t>
      </w:r>
    </w:p>
    <w:p>
      <w:pPr>
        <w:pStyle w:val="ListParagraph"/>
        <w:numPr>
          <w:ilvl w:val="0"/>
          <w:numId w:val="2"/>
        </w:numPr>
        <w:spacing w:before="40" w:after="40" w:line="276"/>
      </w:pPr>
      <w:r>
        <w:rPr>
          <w:rFonts w:ascii="Arial" w:cs="Arial" w:eastAsia="Arial" w:hAnsi="Arial"/>
          <w:b/>
          <w:bCs/>
          <w:color w:val="333333"/>
          <w:sz w:val="22"/>
          <w:szCs w:val="22"/>
        </w:rPr>
        <w:t xml:space="preserve">Executive Dashboard: </w:t>
      </w:r>
      <w:r>
        <w:rPr>
          <w:rFonts w:ascii="Arial" w:cs="Arial" w:eastAsia="Arial" w:hAnsi="Arial"/>
          <w:color w:val="333333"/>
          <w:sz w:val="22"/>
          <w:szCs w:val="22"/>
        </w:rPr>
        <w:t xml:space="preserve">Provides strategic quality indicators including overall quality score, production incident trends, customer satisfaction metrics, compliance status, and quality investment ROI. Updated daily with monthly trend analysis.</w:t>
      </w:r>
    </w:p>
    <w:p>
      <w:pPr>
        <w:pStyle w:val="ListParagraph"/>
        <w:numPr>
          <w:ilvl w:val="0"/>
          <w:numId w:val="2"/>
        </w:numPr>
        <w:spacing w:before="40" w:after="40" w:line="276"/>
      </w:pPr>
      <w:r>
        <w:rPr>
          <w:rFonts w:ascii="Arial" w:cs="Arial" w:eastAsia="Arial" w:hAnsi="Arial"/>
          <w:b/>
          <w:bCs/>
          <w:color w:val="333333"/>
          <w:sz w:val="22"/>
          <w:szCs w:val="22"/>
        </w:rPr>
        <w:t xml:space="preserve">Program Dashboard: </w:t>
      </w:r>
      <w:r>
        <w:rPr>
          <w:rFonts w:ascii="Arial" w:cs="Arial" w:eastAsia="Arial" w:hAnsi="Arial"/>
          <w:color w:val="333333"/>
          <w:sz w:val="22"/>
          <w:szCs w:val="22"/>
        </w:rPr>
        <w:t xml:space="preserve">Shows portfolio-level quality metrics including release quality trends, cross-team defect patterns, environment availability, and testing throughput. Used by program managers and delivery leads for planning and prioritization.</w:t>
      </w:r>
    </w:p>
    <w:p>
      <w:pPr>
        <w:pStyle w:val="ListParagraph"/>
        <w:numPr>
          <w:ilvl w:val="0"/>
          <w:numId w:val="2"/>
        </w:numPr>
        <w:spacing w:before="40" w:after="40" w:line="276"/>
      </w:pPr>
      <w:r>
        <w:rPr>
          <w:rFonts w:ascii="Arial" w:cs="Arial" w:eastAsia="Arial" w:hAnsi="Arial"/>
          <w:b/>
          <w:bCs/>
          <w:color w:val="333333"/>
          <w:sz w:val="22"/>
          <w:szCs w:val="22"/>
        </w:rPr>
        <w:t xml:space="preserve">Team Dashboard: </w:t>
      </w:r>
      <w:r>
        <w:rPr>
          <w:rFonts w:ascii="Arial" w:cs="Arial" w:eastAsia="Arial" w:hAnsi="Arial"/>
          <w:color w:val="333333"/>
          <w:sz w:val="22"/>
          <w:szCs w:val="22"/>
        </w:rPr>
        <w:t xml:space="preserve">Displays team-specific quality metrics including sprint quality results, test automation progress, code quality trends, and individual build quality indicators. Provides actionable information for daily development decisions.</w:t>
      </w:r>
    </w:p>
    <w:p>
      <w:pPr>
        <w:pStyle w:val="ListParagraph"/>
        <w:numPr>
          <w:ilvl w:val="0"/>
          <w:numId w:val="2"/>
        </w:numPr>
        <w:spacing w:before="40" w:after="40" w:line="276"/>
      </w:pPr>
      <w:r>
        <w:rPr>
          <w:rFonts w:ascii="Arial" w:cs="Arial" w:eastAsia="Arial" w:hAnsi="Arial"/>
          <w:b/>
          <w:bCs/>
          <w:color w:val="333333"/>
          <w:sz w:val="22"/>
          <w:szCs w:val="22"/>
        </w:rPr>
        <w:t xml:space="preserve">AI Model Dashboard: </w:t>
      </w:r>
      <w:r>
        <w:rPr>
          <w:rFonts w:ascii="Arial" w:cs="Arial" w:eastAsia="Arial" w:hAnsi="Arial"/>
          <w:color w:val="333333"/>
          <w:sz w:val="22"/>
          <w:szCs w:val="22"/>
        </w:rPr>
        <w:t xml:space="preserve">Presents model-specific quality metrics including performance trends, drift indicators, fairness metrics, and governance compliance status. Used by data science teams and the AI CoE for model health management.</w:t>
      </w:r>
    </w:p>
    <w:p>
      <w:r>
        <w:br w:type="page"/>
      </w:r>
    </w:p>
    <w:p>
      <w:pPr>
        <w:pStyle w:val="Heading2"/>
        <w:spacing w:before="280" w:after="160"/>
      </w:pPr>
      <w:r>
        <w:rPr>
          <w:rFonts w:ascii="Arial" w:cs="Arial" w:eastAsia="Arial" w:hAnsi="Arial"/>
          <w:b/>
          <w:bCs/>
          <w:color w:val="2E75B6"/>
          <w:sz w:val="28"/>
          <w:szCs w:val="28"/>
        </w:rPr>
        <w:t xml:space="preserve">VII.10 Testing Maturity Model and Continuous Improvement</w:t>
      </w:r>
    </w:p>
    <w:p>
      <w:pPr>
        <w:pStyle w:val="Heading3"/>
        <w:spacing w:before="220" w:after="120"/>
      </w:pPr>
      <w:r>
        <w:rPr>
          <w:rFonts w:ascii="Arial" w:cs="Arial" w:eastAsia="Arial" w:hAnsi="Arial"/>
          <w:b/>
          <w:bCs/>
          <w:color w:val="4472C4"/>
          <w:sz w:val="24"/>
          <w:szCs w:val="24"/>
        </w:rPr>
        <w:t xml:space="preserve">VII.10.1 Five-Level Testing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60"/>
        <w:gridCol w:w="3400"/>
      </w:tblGrid>
      <w:tr>
        <w:tc>
          <w:tcPr>
            <w:tcW w:type="dxa" w:w="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1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3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Characteristics</w:t>
            </w:r>
          </w:p>
        </w:tc>
        <w:tc>
          <w:tcPr>
            <w:tcW w:type="dxa" w:w="3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Indicators</w:t>
            </w:r>
          </w:p>
        </w:tc>
      </w:tr>
      <w:tr>
        <w:tc>
          <w:tcPr>
            <w:tcW w:type="dxa" w:w="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Initial</w:t>
            </w:r>
          </w:p>
        </w:tc>
        <w:tc>
          <w:tcPr>
            <w:tcW w:type="dxa" w:w="3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Ad hoc testing, minimal automation, reactive quality management, siloed testing activities</w:t>
            </w:r>
          </w:p>
        </w:tc>
        <w:tc>
          <w:tcPr>
            <w:tcW w:type="dxa" w:w="3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30% automation, no test strategy, manual regression</w:t>
            </w:r>
          </w:p>
        </w:tc>
      </w:tr>
      <w:tr>
        <w:tc>
          <w:tcPr>
            <w:tcW w:type="dxa" w:w="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Managed</w:t>
            </w:r>
          </w:p>
        </w:tc>
        <w:tc>
          <w:tcPr>
            <w:tcW w:type="dxa" w:w="3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Defined test processes, basic automation, test planning integrated with development, standardized tools</w:t>
            </w:r>
          </w:p>
        </w:tc>
        <w:tc>
          <w:tcPr>
            <w:tcW w:type="dxa" w:w="3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30-60% automation, test plans for releases, basic CI integration</w:t>
            </w:r>
          </w:p>
        </w:tc>
      </w:tr>
      <w:tr>
        <w:tc>
          <w:tcPr>
            <w:tcW w:type="dxa" w:w="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Defined</w:t>
            </w:r>
          </w:p>
        </w:tc>
        <w:tc>
          <w:tcPr>
            <w:tcW w:type="dxa" w:w="3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Comprehensive automation, risk-based testing, shift-left practices, integrated environments</w:t>
            </w:r>
          </w:p>
        </w:tc>
        <w:tc>
          <w:tcPr>
            <w:tcW w:type="dxa" w:w="3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60-80% automation, continuous testing, quality gates in pipelines</w:t>
            </w:r>
          </w:p>
        </w:tc>
      </w:tr>
      <w:tr>
        <w:tc>
          <w:tcPr>
            <w:tcW w:type="dxa" w:w="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1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Quantitatively Managed</w:t>
            </w:r>
          </w:p>
        </w:tc>
        <w:tc>
          <w:tcPr>
            <w:tcW w:type="dxa" w:w="3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AI-augmented testing, predictive quality analytics, data-driven optimization, self-healing tests</w:t>
            </w:r>
          </w:p>
        </w:tc>
        <w:tc>
          <w:tcPr>
            <w:tcW w:type="dxa" w:w="3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80-95% automation, AI test generation, predictive defect detection</w:t>
            </w:r>
          </w:p>
        </w:tc>
      </w:tr>
      <w:tr>
        <w:tc>
          <w:tcPr>
            <w:tcW w:type="dxa" w:w="8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16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Optimizing</w:t>
            </w:r>
          </w:p>
        </w:tc>
        <w:tc>
          <w:tcPr>
            <w:tcW w:type="dxa" w:w="356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Autonomous quality engineering, continuous self-improvement, innovation-driven testing, industry leadership</w:t>
            </w:r>
          </w:p>
        </w:tc>
        <w:tc>
          <w:tcPr>
            <w:tcW w:type="dxa" w:w="3400"/>
            <w:tcBorders>
              <w:top w:val="single" w:color="B4C6D9" w:sz="1"/>
              <w:left w:val="single" w:color="B4C6D9" w:sz="1"/>
              <w:bottom w:val="single" w:color="B4C6D9" w:sz="1"/>
              <w:right w:val="single" w:color="B4C6D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&gt; 95% automation, autonomous test evolution, zero-touch quality</w:t>
            </w:r>
          </w:p>
        </w:tc>
      </w:tr>
    </w:tbl>
    <w:p>
      <w:pPr>
        <w:pStyle w:val="Heading3"/>
        <w:spacing w:before="220" w:after="120"/>
      </w:pPr>
      <w:r>
        <w:rPr>
          <w:rFonts w:ascii="Arial" w:cs="Arial" w:eastAsia="Arial" w:hAnsi="Arial"/>
          <w:b/>
          <w:bCs/>
          <w:color w:val="4472C4"/>
          <w:sz w:val="24"/>
          <w:szCs w:val="24"/>
        </w:rPr>
        <w:t xml:space="preserve">VII.10.2 Maturity Assessment and Roadmap</w:t>
      </w:r>
    </w:p>
    <w:p>
      <w:pPr>
        <w:spacing w:before="80" w:after="80" w:line="276"/>
        <w:jc w:val="both"/>
      </w:pPr>
      <w:r>
        <w:rPr>
          <w:rFonts w:ascii="Arial" w:cs="Arial" w:eastAsia="Arial" w:hAnsi="Arial"/>
          <w:color w:val="333333"/>
          <w:sz w:val="22"/>
          <w:szCs w:val="22"/>
        </w:rPr>
        <w:t xml:space="preserve">Testing maturity is assessed annually across eight capability dimensions: test strategy and planning, test automation, test environment management, test data management, AI and ML testing, performance and reliability testing, security testing, and quality metrics and analytics. Each dimension is scored independently, producing a capability heat map that identifies specific improvement priorities. The assessment feeds into an annual quality engineering roadmap that defines target maturity levels, investment requirements, and expected outcomes for each dimension.</w:t>
      </w:r>
    </w:p>
    <w:p>
      <w:pPr>
        <w:pStyle w:val="Heading3"/>
        <w:spacing w:before="220" w:after="120"/>
      </w:pPr>
      <w:r>
        <w:rPr>
          <w:rFonts w:ascii="Arial" w:cs="Arial" w:eastAsia="Arial" w:hAnsi="Arial"/>
          <w:b/>
          <w:bCs/>
          <w:color w:val="4472C4"/>
          <w:sz w:val="24"/>
          <w:szCs w:val="24"/>
        </w:rPr>
        <w:t xml:space="preserve">VII.10.3 Continuous Improvement Mechanisms</w:t>
      </w:r>
    </w:p>
    <w:p>
      <w:pPr>
        <w:spacing w:before="80" w:after="80" w:line="276"/>
        <w:jc w:val="both"/>
      </w:pPr>
      <w:r>
        <w:rPr>
          <w:rFonts w:ascii="Arial" w:cs="Arial" w:eastAsia="Arial" w:hAnsi="Arial"/>
          <w:color w:val="333333"/>
          <w:sz w:val="22"/>
          <w:szCs w:val="22"/>
        </w:rPr>
        <w:t xml:space="preserve">Six mechanisms drive continuous improvement in testing and quality:</w:t>
      </w:r>
    </w:p>
    <w:p>
      <w:pPr>
        <w:pStyle w:val="ListParagraph"/>
        <w:numPr>
          <w:ilvl w:val="0"/>
          <w:numId w:val="3"/>
        </w:numPr>
        <w:spacing w:before="40" w:after="40" w:line="276"/>
      </w:pPr>
      <w:r>
        <w:rPr>
          <w:rFonts w:ascii="Arial" w:cs="Arial" w:eastAsia="Arial" w:hAnsi="Arial"/>
          <w:color w:val="333333"/>
          <w:sz w:val="22"/>
          <w:szCs w:val="22"/>
        </w:rPr>
        <w:t xml:space="preserve">Retrospective Quality Reviews: Post-release analysis of defect escape patterns, test gaps, and process breakdowns that inform targeted improvements to testing practices and automation.</w:t>
      </w:r>
    </w:p>
    <w:p>
      <w:pPr>
        <w:pStyle w:val="ListParagraph"/>
        <w:numPr>
          <w:ilvl w:val="0"/>
          <w:numId w:val="3"/>
        </w:numPr>
        <w:spacing w:before="40" w:after="40" w:line="276"/>
      </w:pPr>
      <w:r>
        <w:rPr>
          <w:rFonts w:ascii="Arial" w:cs="Arial" w:eastAsia="Arial" w:hAnsi="Arial"/>
          <w:color w:val="333333"/>
          <w:sz w:val="22"/>
          <w:szCs w:val="22"/>
        </w:rPr>
        <w:t xml:space="preserve">AI-Driven Test Optimization: Machine learning models continuously analyze test execution data to identify redundant tests, suggest new test scenarios, and optimize test suite composition for maximum defect detection with minimum execution time.</w:t>
      </w:r>
    </w:p>
    <w:p>
      <w:pPr>
        <w:pStyle w:val="ListParagraph"/>
        <w:numPr>
          <w:ilvl w:val="0"/>
          <w:numId w:val="3"/>
        </w:numPr>
        <w:spacing w:before="40" w:after="40" w:line="276"/>
      </w:pPr>
      <w:r>
        <w:rPr>
          <w:rFonts w:ascii="Arial" w:cs="Arial" w:eastAsia="Arial" w:hAnsi="Arial"/>
          <w:color w:val="333333"/>
          <w:sz w:val="22"/>
          <w:szCs w:val="22"/>
        </w:rPr>
        <w:t xml:space="preserve">Community of Practice: Cross-team quality engineering community that shares best practices, evaluates new testing technologies, and develops shared test assets including frameworks, utilities, and training materials.</w:t>
      </w:r>
    </w:p>
    <w:p>
      <w:pPr>
        <w:pStyle w:val="ListParagraph"/>
        <w:numPr>
          <w:ilvl w:val="0"/>
          <w:numId w:val="3"/>
        </w:numPr>
        <w:spacing w:before="40" w:after="40" w:line="276"/>
      </w:pPr>
      <w:r>
        <w:rPr>
          <w:rFonts w:ascii="Arial" w:cs="Arial" w:eastAsia="Arial" w:hAnsi="Arial"/>
          <w:color w:val="333333"/>
          <w:sz w:val="22"/>
          <w:szCs w:val="22"/>
        </w:rPr>
        <w:t xml:space="preserve">Innovation Sprints: Quarterly dedicated sprints where testing teams experiment with emerging testing technologies, evaluate new tools, and prototype innovative testing approaches for potential enterprise adoption.</w:t>
      </w:r>
    </w:p>
    <w:p>
      <w:pPr>
        <w:pStyle w:val="ListParagraph"/>
        <w:numPr>
          <w:ilvl w:val="0"/>
          <w:numId w:val="3"/>
        </w:numPr>
        <w:spacing w:before="40" w:after="40" w:line="276"/>
      </w:pPr>
      <w:r>
        <w:rPr>
          <w:rFonts w:ascii="Arial" w:cs="Arial" w:eastAsia="Arial" w:hAnsi="Arial"/>
          <w:color w:val="333333"/>
          <w:sz w:val="22"/>
          <w:szCs w:val="22"/>
        </w:rPr>
        <w:t xml:space="preserve">Benchmark Analysis: Annual benchmarking of testing practices and metrics against industry peers and published research, identifying capability gaps and best practices for adoption.</w:t>
      </w:r>
    </w:p>
    <w:p>
      <w:pPr>
        <w:pStyle w:val="ListParagraph"/>
        <w:numPr>
          <w:ilvl w:val="0"/>
          <w:numId w:val="3"/>
        </w:numPr>
        <w:spacing w:before="40" w:after="40" w:line="276"/>
      </w:pPr>
      <w:r>
        <w:rPr>
          <w:rFonts w:ascii="Arial" w:cs="Arial" w:eastAsia="Arial" w:hAnsi="Arial"/>
          <w:color w:val="333333"/>
          <w:sz w:val="22"/>
          <w:szCs w:val="22"/>
        </w:rPr>
        <w:t xml:space="preserve">Feedback Loop Integration: Systematic integration of production monitoring insights, customer support data, and user research findings into the testing strategy, ensuring that testing priorities align with real-world quality challenges.</w:t>
      </w:r>
    </w:p>
    <w:p>
      <w:pPr>
        <w:pStyle w:val="Heading3"/>
        <w:spacing w:before="220" w:after="120"/>
      </w:pPr>
      <w:r>
        <w:rPr>
          <w:rFonts w:ascii="Arial" w:cs="Arial" w:eastAsia="Arial" w:hAnsi="Arial"/>
          <w:b/>
          <w:bCs/>
          <w:color w:val="4472C4"/>
          <w:sz w:val="24"/>
          <w:szCs w:val="24"/>
        </w:rPr>
        <w:t xml:space="preserve">VII.10.4 Quality Engineering Investment Model</w:t>
      </w:r>
    </w:p>
    <w:p>
      <w:pPr>
        <w:spacing w:before="80" w:after="80" w:line="276"/>
        <w:jc w:val="both"/>
      </w:pPr>
      <w:r>
        <w:rPr>
          <w:rFonts w:ascii="Arial" w:cs="Arial" w:eastAsia="Arial" w:hAnsi="Arial"/>
          <w:color w:val="333333"/>
          <w:sz w:val="22"/>
          <w:szCs w:val="22"/>
        </w:rPr>
        <w:t xml:space="preserve">The framework establishes quality engineering investment guidelines calibrated by application tier and risk classification. Tier 1 applications allocate twenty to twenty-five percent of development effort to quality engineering activities including test development, automation, and maintenance. Tier 2 applications allocate fifteen to twenty percent. Tier 3 and Tier 4 applications allocate ten to fifteen percent. AI/ML systems at any tier allocate an additional five to ten percent for model-specific validation activities including fairness testing, robustness evaluation, and drift monitoring. Investment allocation is reviewed quarterly against quality outcomes, with adjustments made to optimize the balance between quality investment and business value delivery.</w:t>
      </w:r>
    </w:p>
    <w:p>
      <w:pPr>
        <w:spacing w:before="60" w:after="60"/>
      </w:pPr>
    </w:p>
    <w:p>
      <w:pPr>
        <w:spacing w:before="80" w:after="80" w:line="276"/>
        <w:jc w:val="both"/>
      </w:pPr>
      <w:r>
        <w:rPr>
          <w:rFonts w:ascii="Arial" w:cs="Arial" w:eastAsia="Arial" w:hAnsi="Arial"/>
          <w:i/>
          <w:iCs/>
          <w:color w:val="666666"/>
          <w:sz w:val="22"/>
          <w:szCs w:val="22"/>
        </w:rPr>
        <w:t xml:space="preserve">This concludes Section 5, covering Part VI (AI and Machine Learning Governance Framework) and Part VII (Enterprise Testing and Quality Assurance Framework). All references will be consolidated in Section 8 of the complete playbook.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9" w:sz="4" w:space="1"/>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666666"/>
        <w:sz w:val="18"/>
        <w:szCs w:val="18"/>
      </w:rPr>
      <w:t xml:space="preserve">Enterprise Software Governance Playbook</w:t>
    </w:r>
    <w:r>
      <w:rPr>
        <w:rFonts w:ascii="Arial" w:cs="Arial" w:eastAsia="Arial" w:hAnsi="Arial"/>
        <w:i/>
        <w:iCs/>
        <w:color w:val="666666"/>
        <w:sz w:val="18"/>
        <w:szCs w:val="18"/>
      </w:rPr>
      <w:t xml:space="preserve">  |  Section 5: AI Governance &amp;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2026-03-02T23:40:37.787Z</dcterms:created>
  <dcterms:modified xsi:type="dcterms:W3CDTF">2026-03-02T23:40:37.788Z</dcterms:modified>
</cp:coreProperties>
</file>

<file path=docProps/custom.xml><?xml version="1.0" encoding="utf-8"?>
<Properties xmlns="http://schemas.openxmlformats.org/officeDocument/2006/custom-properties" xmlns:vt="http://schemas.openxmlformats.org/officeDocument/2006/docPropsVTypes"/>
</file>