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Enterprise Software Governance</w:t>
      </w:r>
    </w:p>
    <w:p>
      <w:pPr>
        <w:spacing w:after="100"/>
        <w:jc w:val="center"/>
      </w:pPr>
      <w:r>
        <w:rPr>
          <w:rFonts w:ascii="Arial" w:cs="Arial" w:eastAsia="Arial" w:hAnsi="Arial"/>
          <w:color w:val="2E75B6"/>
          <w:sz w:val="28"/>
          <w:szCs w:val="28"/>
        </w:rPr>
        <w:t xml:space="preserve">Integrated TPRM, AI Governance, Agentic SDLC &amp; PDLC Framework</w:t>
      </w:r>
    </w:p>
    <w:p>
      <w:pPr>
        <w:spacing w:after="400"/>
        <w:jc w:val="center"/>
      </w:pPr>
      <w:r>
        <w:rPr>
          <w:rFonts w:ascii="Arial" w:cs="Arial" w:eastAsia="Arial" w:hAnsi="Arial"/>
          <w:i/>
          <w:iCs/>
          <w:color w:val="666666"/>
          <w:sz w:val="24"/>
          <w:szCs w:val="24"/>
        </w:rPr>
        <w:t xml:space="preserve">The Definitive Playbook: From Idea Inception Through Asset Retirement</w:t>
      </w:r>
    </w:p>
    <w:p>
      <w:pPr>
        <w:pBdr>
          <w:top w:val="single" w:color="2E75B6" w:sz="6" w:space="1"/>
        </w:pBdr>
        <w:spacing w:after="200" w:before="200"/>
        <w:jc w:val="center"/>
      </w:pPr>
    </w:p>
    <w:p>
      <w:pPr>
        <w:spacing w:after="80"/>
        <w:jc w:val="center"/>
      </w:pPr>
      <w:r>
        <w:rPr>
          <w:rFonts w:ascii="Arial" w:cs="Arial" w:eastAsia="Arial" w:hAnsi="Arial"/>
          <w:color w:val="2D2D2D"/>
          <w:sz w:val="22"/>
          <w:szCs w:val="22"/>
        </w:rPr>
        <w:t xml:space="preserve">Version 4.0 | Comprehensive End-to-End Lifecycle</w:t>
      </w:r>
    </w:p>
    <w:p>
      <w:pPr>
        <w:spacing w:after="80"/>
        <w:jc w:val="center"/>
      </w:pPr>
      <w:r>
        <w:rPr>
          <w:rFonts w:ascii="Arial" w:cs="Arial" w:eastAsia="Arial" w:hAnsi="Arial"/>
          <w:color w:val="666666"/>
          <w:sz w:val="20"/>
          <w:szCs w:val="20"/>
        </w:rPr>
        <w:t xml:space="preserve">BPMN-Driven Workflow | Deterministic Knowledge Capture | Automation-First Design</w:t>
      </w:r>
    </w:p>
    <w:p>
      <w:pPr>
        <w:spacing w:after="80"/>
        <w:jc w:val="center"/>
      </w:pPr>
      <w:r>
        <w:rPr>
          <w:rFonts w:ascii="Arial" w:cs="Arial" w:eastAsia="Arial" w:hAnsi="Arial"/>
          <w:color w:val="666666"/>
          <w:sz w:val="20"/>
          <w:szCs w:val="20"/>
        </w:rPr>
        <w:t xml:space="preserve">Agentic SDLC | DevSecOps AI | Multi-Agent Orchestration</w:t>
      </w:r>
    </w:p>
    <w:p>
      <w:pPr>
        <w:spacing w:after="80" w:before="600"/>
        <w:jc w:val="center"/>
      </w:pPr>
      <w:r>
        <w:rPr>
          <w:rFonts w:ascii="Arial" w:cs="Arial" w:eastAsia="Arial" w:hAnsi="Arial"/>
          <w:b/>
          <w:bCs/>
          <w:color w:val="1B3A5C"/>
          <w:sz w:val="22"/>
          <w:szCs w:val="22"/>
        </w:rPr>
        <w:t xml:space="preserve">March 2026 | CONFIDENTIAL</w:t>
      </w:r>
    </w:p>
    <w:p>
      <w:pPr>
        <w:spacing w:after="80"/>
        <w:jc w:val="center"/>
      </w:pPr>
      <w:r>
        <w:rPr>
          <w:rFonts w:ascii="Arial" w:cs="Arial" w:eastAsia="Arial" w:hAnsi="Arial"/>
          <w:color w:val="666666"/>
          <w:sz w:val="20"/>
          <w:szCs w:val="20"/>
        </w:rPr>
        <w:t xml:space="preserve">Section 1 of 8: Strategic Foundation &amp; End-to-End Lifecycle</w:t>
      </w:r>
    </w:p>
    <w:p>
      <w:r>
        <w:br w:type="page"/>
      </w:r>
    </w:p>
    <w:p>
      <w:pPr>
        <w:pStyle w:val="Heading1"/>
        <w:spacing w:after="200" w:before="360"/>
      </w:pPr>
      <w:r>
        <w:rPr>
          <w:rFonts w:ascii="Arial" w:cs="Arial" w:eastAsia="Arial" w:hAnsi="Arial"/>
          <w:b/>
          <w:bCs/>
          <w:color w:val="1B3A5C"/>
          <w:sz w:val="32"/>
          <w:szCs w:val="32"/>
        </w:rPr>
        <w:t xml:space="preserve">Key Outcomes Delivered by This Framework</w:t>
      </w:r>
    </w:p>
    <w:p>
      <w:pPr>
        <w:spacing w:after="120" w:before="120" w:line="276"/>
      </w:pPr>
      <w:r>
        <w:rPr>
          <w:rFonts w:ascii="Arial" w:cs="Arial" w:eastAsia="Arial" w:hAnsi="Arial"/>
          <w:color w:val="2D2D2D"/>
          <w:sz w:val="22"/>
          <w:szCs w:val="22"/>
        </w:rPr>
        <w:t xml:space="preserve">This integrated playbook delivers the following measurable outcomes across the enterprise software lifecycle: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C6D9" w:sz="1"/>
              <w:left w:val="single" w:color="B4C6D9" w:sz="1"/>
              <w:bottom w:val="single" w:color="B4C6D9" w:sz="1"/>
              <w:right w:val="single" w:color="B4C6D9" w:sz="1"/>
            </w:tcBorders>
            <w:shd w:fill="F2F7FB" w:val="clear"/>
            <w:tcMar>
              <w:top w:type="dxa" w:w="80"/>
              <w:left w:type="dxa" w:w="160"/>
              <w:bottom w:type="dxa" w:w="80"/>
              <w:right w:type="dxa" w:w="160"/>
            </w:tcMar>
          </w:tcPr>
          <w:p>
            <w:pPr>
              <w:spacing w:after="40" w:before="40"/>
            </w:pPr>
            <w:r>
              <w:rPr>
                <w:rFonts w:ascii="Arial" w:cs="Arial" w:eastAsia="Arial" w:hAnsi="Arial"/>
                <w:color w:val="2D2D2D"/>
                <w:sz w:val="20"/>
                <w:szCs w:val="20"/>
              </w:rPr>
              <w:t xml:space="preserve">Complete BPMN lifecycle from idea inception through development, procurement, deployment, continuous monitoring, and retirement with deterministic knowledge capture at every phase.</w:t>
            </w:r>
          </w:p>
        </w:tc>
      </w:tr>
      <w:tr>
        <w:tc>
          <w:tcPr>
            <w:tcW w:type="dxa" w:w="9360"/>
            <w:tcBorders>
              <w:top w:val="single" w:color="B4C6D9" w:sz="1"/>
              <w:left w:val="single" w:color="B4C6D9" w:sz="1"/>
              <w:bottom w:val="single" w:color="B4C6D9" w:sz="1"/>
              <w:right w:val="single" w:color="B4C6D9" w:sz="1"/>
            </w:tcBorders>
            <w:tcMar>
              <w:top w:type="dxa" w:w="80"/>
              <w:left w:type="dxa" w:w="160"/>
              <w:bottom w:type="dxa" w:w="80"/>
              <w:right w:type="dxa" w:w="160"/>
            </w:tcMar>
          </w:tcPr>
          <w:p>
            <w:pPr>
              <w:spacing w:after="40" w:before="40"/>
            </w:pPr>
            <w:r>
              <w:rPr>
                <w:rFonts w:ascii="Arial" w:cs="Arial" w:eastAsia="Arial" w:hAnsi="Arial"/>
                <w:color w:val="2D2D2D"/>
                <w:sz w:val="20"/>
                <w:szCs w:val="20"/>
              </w:rPr>
              <w:t xml:space="preserve">Unified 8-phase governance model integrating TPRM, AI Governance, PDLC, and Enterprise Software Governance into a single operating framework with RACI accountability.</w:t>
            </w:r>
          </w:p>
        </w:tc>
      </w:tr>
      <w:tr>
        <w:tc>
          <w:tcPr>
            <w:tcW w:type="dxa" w:w="9360"/>
            <w:tcBorders>
              <w:top w:val="single" w:color="B4C6D9" w:sz="1"/>
              <w:left w:val="single" w:color="B4C6D9" w:sz="1"/>
              <w:bottom w:val="single" w:color="B4C6D9" w:sz="1"/>
              <w:right w:val="single" w:color="B4C6D9" w:sz="1"/>
            </w:tcBorders>
            <w:shd w:fill="F2F7FB" w:val="clear"/>
            <w:tcMar>
              <w:top w:type="dxa" w:w="80"/>
              <w:left w:type="dxa" w:w="160"/>
              <w:bottom w:type="dxa" w:w="80"/>
              <w:right w:type="dxa" w:w="160"/>
            </w:tcMar>
          </w:tcPr>
          <w:p>
            <w:pPr>
              <w:spacing w:after="40" w:before="40"/>
            </w:pPr>
            <w:r>
              <w:rPr>
                <w:rFonts w:ascii="Arial" w:cs="Arial" w:eastAsia="Arial" w:hAnsi="Arial"/>
                <w:color w:val="2D2D2D"/>
                <w:sz w:val="20"/>
                <w:szCs w:val="20"/>
              </w:rPr>
              <w:t xml:space="preserve">Agentic SDLC architecture with SubAgent ecosystems (Orchestrator, Planner, Coder, Reviewer, Tester, Security Agent), Context Envelope, self-healing code loops, and collapsed 7-to-3 phase development model.</w:t>
            </w:r>
          </w:p>
        </w:tc>
      </w:tr>
      <w:tr>
        <w:tc>
          <w:tcPr>
            <w:tcW w:type="dxa" w:w="9360"/>
            <w:tcBorders>
              <w:top w:val="single" w:color="B4C6D9" w:sz="1"/>
              <w:left w:val="single" w:color="B4C6D9" w:sz="1"/>
              <w:bottom w:val="single" w:color="B4C6D9" w:sz="1"/>
              <w:right w:val="single" w:color="B4C6D9" w:sz="1"/>
            </w:tcBorders>
            <w:tcMar>
              <w:top w:type="dxa" w:w="80"/>
              <w:left w:type="dxa" w:w="160"/>
              <w:bottom w:type="dxa" w:w="80"/>
              <w:right w:type="dxa" w:w="160"/>
            </w:tcMar>
          </w:tcPr>
          <w:p>
            <w:pPr>
              <w:spacing w:after="40" w:before="40"/>
            </w:pPr>
            <w:r>
              <w:rPr>
                <w:rFonts w:ascii="Arial" w:cs="Arial" w:eastAsia="Arial" w:hAnsi="Arial"/>
                <w:color w:val="2D2D2D"/>
                <w:sz w:val="20"/>
                <w:szCs w:val="20"/>
              </w:rPr>
              <w:t xml:space="preserve">Multi-agent swarm orchestration for vendor evaluation using Investigator, Compliance, and Checker agents with five orchestration patterns (Sequential, Concurrent, Supervisor, Group Chat, Blackboard).</w:t>
            </w:r>
          </w:p>
        </w:tc>
      </w:tr>
      <w:tr>
        <w:tc>
          <w:tcPr>
            <w:tcW w:type="dxa" w:w="9360"/>
            <w:tcBorders>
              <w:top w:val="single" w:color="B4C6D9" w:sz="1"/>
              <w:left w:val="single" w:color="B4C6D9" w:sz="1"/>
              <w:bottom w:val="single" w:color="B4C6D9" w:sz="1"/>
              <w:right w:val="single" w:color="B4C6D9" w:sz="1"/>
            </w:tcBorders>
            <w:shd w:fill="F2F7FB" w:val="clear"/>
            <w:tcMar>
              <w:top w:type="dxa" w:w="80"/>
              <w:left w:type="dxa" w:w="160"/>
              <w:bottom w:type="dxa" w:w="80"/>
              <w:right w:type="dxa" w:w="160"/>
            </w:tcMar>
          </w:tcPr>
          <w:p>
            <w:pPr>
              <w:spacing w:after="40" w:before="40"/>
            </w:pPr>
            <w:r>
              <w:rPr>
                <w:rFonts w:ascii="Arial" w:cs="Arial" w:eastAsia="Arial" w:hAnsi="Arial"/>
                <w:color w:val="2D2D2D"/>
                <w:sz w:val="20"/>
                <w:szCs w:val="20"/>
              </w:rPr>
              <w:t xml:space="preserve">DevSecOps AI framework spanning People, Process, and Technology dimensions with enterprise CI/CD pipeline automation, policy-as-code enforcement, and multi-layer code review.</w:t>
            </w:r>
          </w:p>
        </w:tc>
      </w:tr>
      <w:tr>
        <w:tc>
          <w:tcPr>
            <w:tcW w:type="dxa" w:w="9360"/>
            <w:tcBorders>
              <w:top w:val="single" w:color="B4C6D9" w:sz="1"/>
              <w:left w:val="single" w:color="B4C6D9" w:sz="1"/>
              <w:bottom w:val="single" w:color="B4C6D9" w:sz="1"/>
              <w:right w:val="single" w:color="B4C6D9" w:sz="1"/>
            </w:tcBorders>
            <w:tcMar>
              <w:top w:type="dxa" w:w="80"/>
              <w:left w:type="dxa" w:w="160"/>
              <w:bottom w:type="dxa" w:w="80"/>
              <w:right w:type="dxa" w:w="160"/>
            </w:tcMar>
          </w:tcPr>
          <w:p>
            <w:pPr>
              <w:spacing w:after="40" w:before="40"/>
            </w:pPr>
            <w:r>
              <w:rPr>
                <w:rFonts w:ascii="Arial" w:cs="Arial" w:eastAsia="Arial" w:hAnsi="Arial"/>
                <w:color w:val="2D2D2D"/>
                <w:sz w:val="20"/>
                <w:szCs w:val="20"/>
              </w:rPr>
              <w:t xml:space="preserve">Comprehensive task-level SLAs across all 8 phases with current-state vs. future-state benchmarks, cycle time compression from 90–120 days to 29–45 days (68–75% reduction).</w:t>
            </w:r>
          </w:p>
        </w:tc>
      </w:tr>
      <w:tr>
        <w:tc>
          <w:tcPr>
            <w:tcW w:type="dxa" w:w="9360"/>
            <w:tcBorders>
              <w:top w:val="single" w:color="B4C6D9" w:sz="1"/>
              <w:left w:val="single" w:color="B4C6D9" w:sz="1"/>
              <w:bottom w:val="single" w:color="B4C6D9" w:sz="1"/>
              <w:right w:val="single" w:color="B4C6D9" w:sz="1"/>
            </w:tcBorders>
            <w:shd w:fill="F2F7FB" w:val="clear"/>
            <w:tcMar>
              <w:top w:type="dxa" w:w="80"/>
              <w:left w:type="dxa" w:w="160"/>
              <w:bottom w:type="dxa" w:w="80"/>
              <w:right w:type="dxa" w:w="160"/>
            </w:tcMar>
          </w:tcPr>
          <w:p>
            <w:pPr>
              <w:spacing w:after="40" w:before="40"/>
            </w:pPr>
            <w:r>
              <w:rPr>
                <w:rFonts w:ascii="Arial" w:cs="Arial" w:eastAsia="Arial" w:hAnsi="Arial"/>
                <w:color w:val="2D2D2D"/>
                <w:sz w:val="20"/>
                <w:szCs w:val="20"/>
              </w:rPr>
              <w:t xml:space="preserve">Shift-left TPRM-to-Build feedback loop ensuring vendor evaluation standards symmetrically govern internal development through DevSecOps pipeline integration.</w:t>
            </w:r>
          </w:p>
        </w:tc>
      </w:tr>
      <w:tr>
        <w:tc>
          <w:tcPr>
            <w:tcW w:type="dxa" w:w="9360"/>
            <w:tcBorders>
              <w:top w:val="single" w:color="B4C6D9" w:sz="1"/>
              <w:left w:val="single" w:color="B4C6D9" w:sz="1"/>
              <w:bottom w:val="single" w:color="B4C6D9" w:sz="1"/>
              <w:right w:val="single" w:color="B4C6D9" w:sz="1"/>
            </w:tcBorders>
            <w:tcMar>
              <w:top w:type="dxa" w:w="80"/>
              <w:left w:type="dxa" w:w="160"/>
              <w:bottom w:type="dxa" w:w="80"/>
              <w:right w:type="dxa" w:w="160"/>
            </w:tcMar>
          </w:tcPr>
          <w:p>
            <w:pPr>
              <w:spacing w:after="40" w:before="40"/>
            </w:pPr>
            <w:r>
              <w:rPr>
                <w:rFonts w:ascii="Arial" w:cs="Arial" w:eastAsia="Arial" w:hAnsi="Arial"/>
                <w:color w:val="2D2D2D"/>
                <w:sz w:val="20"/>
                <w:szCs w:val="20"/>
              </w:rPr>
              <w:t xml:space="preserve">AI governance controls mapped to NIST CSF 2.0, ISO 27001, DORA, FS AI RMF (230 control objectives), EU AI Act, SEC Rule 17a-4, and Interagency Guidance with three-level gap analysis methodology.</w:t>
            </w:r>
          </w:p>
        </w:tc>
      </w:tr>
      <w:tr>
        <w:tc>
          <w:tcPr>
            <w:tcW w:type="dxa" w:w="9360"/>
            <w:tcBorders>
              <w:top w:val="single" w:color="B4C6D9" w:sz="1"/>
              <w:left w:val="single" w:color="B4C6D9" w:sz="1"/>
              <w:bottom w:val="single" w:color="B4C6D9" w:sz="1"/>
              <w:right w:val="single" w:color="B4C6D9" w:sz="1"/>
            </w:tcBorders>
            <w:shd w:fill="F2F7FB" w:val="clear"/>
            <w:tcMar>
              <w:top w:type="dxa" w:w="80"/>
              <w:left w:type="dxa" w:w="160"/>
              <w:bottom w:type="dxa" w:w="80"/>
              <w:right w:type="dxa" w:w="160"/>
            </w:tcMar>
          </w:tcPr>
          <w:p>
            <w:pPr>
              <w:spacing w:after="40" w:before="40"/>
            </w:pPr>
            <w:r>
              <w:rPr>
                <w:rFonts w:ascii="Arial" w:cs="Arial" w:eastAsia="Arial" w:hAnsi="Arial"/>
                <w:color w:val="2D2D2D"/>
                <w:sz w:val="20"/>
                <w:szCs w:val="20"/>
              </w:rPr>
              <w:t xml:space="preserve">Process mining against BPMN execution logs with automated SLA breach root cause analysis, knowledge base enrichment, and quarterly benchmark recalibration.</w:t>
            </w:r>
          </w:p>
        </w:tc>
      </w:tr>
      <w:tr>
        <w:tc>
          <w:tcPr>
            <w:tcW w:type="dxa" w:w="9360"/>
            <w:tcBorders>
              <w:top w:val="single" w:color="B4C6D9" w:sz="1"/>
              <w:left w:val="single" w:color="B4C6D9" w:sz="1"/>
              <w:bottom w:val="single" w:color="B4C6D9" w:sz="1"/>
              <w:right w:val="single" w:color="B4C6D9" w:sz="1"/>
            </w:tcBorders>
            <w:tcMar>
              <w:top w:type="dxa" w:w="80"/>
              <w:left w:type="dxa" w:w="160"/>
              <w:bottom w:type="dxa" w:w="80"/>
              <w:right w:type="dxa" w:w="160"/>
            </w:tcMar>
          </w:tcPr>
          <w:p>
            <w:pPr>
              <w:spacing w:after="40" w:before="40"/>
            </w:pPr>
            <w:r>
              <w:rPr>
                <w:rFonts w:ascii="Arial" w:cs="Arial" w:eastAsia="Arial" w:hAnsi="Arial"/>
                <w:color w:val="2D2D2D"/>
                <w:sz w:val="20"/>
                <w:szCs w:val="20"/>
              </w:rPr>
              <w:t xml:space="preserve">Dual-track transformation framework with A/B testing methodology, 90-day implementation rhythm, and engineer role evolution from code writers to directors of intent.</w:t>
            </w:r>
          </w:p>
        </w:tc>
      </w:tr>
    </w:tbl>
    <w:p>
      <w:r>
        <w:br w:type="page"/>
      </w:r>
    </w:p>
    <w:p>
      <w:pPr>
        <w:spacing w:after="400" w:before="600"/>
        <w:jc w:val="center"/>
      </w:pPr>
      <w:r>
        <w:rPr>
          <w:rFonts w:ascii="Arial" w:cs="Arial" w:eastAsia="Arial" w:hAnsi="Arial"/>
          <w:b/>
          <w:bCs/>
          <w:color w:val="1B3A5C"/>
          <w:sz w:val="40"/>
          <w:szCs w:val="40"/>
        </w:rPr>
        <w:t xml:space="preserve">PART I</w:t>
      </w:r>
    </w:p>
    <w:p>
      <w:pPr>
        <w:spacing w:after="600"/>
        <w:jc w:val="center"/>
      </w:pPr>
      <w:r>
        <w:rPr>
          <w:rFonts w:ascii="Arial" w:cs="Arial" w:eastAsia="Arial" w:hAnsi="Arial"/>
          <w:color w:val="2E75B6"/>
          <w:sz w:val="32"/>
          <w:szCs w:val="32"/>
        </w:rPr>
        <w:t xml:space="preserve">Strategic Foundation</w:t>
      </w:r>
    </w:p>
    <w:p>
      <w:pPr>
        <w:pStyle w:val="Heading1"/>
        <w:spacing w:after="200" w:before="360"/>
      </w:pPr>
      <w:r>
        <w:rPr>
          <w:rFonts w:ascii="Arial" w:cs="Arial" w:eastAsia="Arial" w:hAnsi="Arial"/>
          <w:b/>
          <w:bCs/>
          <w:color w:val="1B3A5C"/>
          <w:sz w:val="32"/>
          <w:szCs w:val="32"/>
        </w:rPr>
        <w:t xml:space="preserve">1.1 Executive Summary</w:t>
      </w:r>
    </w:p>
    <w:p>
      <w:pPr>
        <w:spacing w:after="120" w:before="120" w:line="276"/>
      </w:pPr>
      <w:r>
        <w:rPr>
          <w:rFonts w:ascii="Arial" w:cs="Arial" w:eastAsia="Arial" w:hAnsi="Arial"/>
          <w:color w:val="2D2D2D"/>
          <w:sz w:val="22"/>
          <w:szCs w:val="22"/>
        </w:rPr>
        <w:t xml:space="preserve">This document establishes a fully integrated, end-to-end governance framework that unifies Third-Party Risk Management (TPRM), AI Governance, the Product Development Lifecycle (PDLC), Agentic Software Development Lifecycle (SDLC), and Enterprise Software Governance into a single, BPMN-driven operating model. It provides the authoritative baseline for managing the complete lifecycle of engineering initiatives from the initial onboarding of a new idea or vendor through development, deployment, continuous monitoring, and eventual retirement of the asset.</w:t>
      </w:r>
    </w:p>
    <w:p>
      <w:pPr>
        <w:spacing w:after="120" w:before="120" w:line="276"/>
      </w:pPr>
      <w:r>
        <w:rPr>
          <w:rFonts w:ascii="Arial" w:cs="Arial" w:eastAsia="Arial" w:hAnsi="Arial"/>
          <w:color w:val="2D2D2D"/>
          <w:sz w:val="22"/>
          <w:szCs w:val="22"/>
        </w:rPr>
        <w:t xml:space="preserve">The traditional Software Development Lifecycle was designed for human-paced progress where architects and developers spend significant time on non-core activities including rituals, meetings, and administrative overhead. The shift to an agentic model reframes the engineer as a strategic orchestrator. The human defines the "what" with precision through intent specification, while AI agents handle the "how" through autonomous execution. This framework operationalizes that transformation across every phase of the enterprise software lifecycle.</w:t>
      </w:r>
    </w:p>
    <w:p>
      <w:pPr>
        <w:spacing w:after="120" w:before="120" w:line="276"/>
      </w:pPr>
      <w:r>
        <w:rPr>
          <w:rFonts w:ascii="Arial" w:cs="Arial" w:eastAsia="Arial" w:hAnsi="Arial"/>
          <w:color w:val="2D2D2D"/>
          <w:sz w:val="22"/>
          <w:szCs w:val="22"/>
        </w:rPr>
        <w:t xml:space="preserve">The framework is designed around three foundational principles: (1) deterministic knowledge capture that front-loads information harvesting to compress downstream cycle times; (2) automation-first design that identifies every opportunity for AI-driven acceleration across the lifecycle; and (3) governance-by-design that ensures no control gaps exist between TPRM, AI governance, legal, risk, compliance, security, and regulatory obligations.</w:t>
      </w:r>
    </w:p>
    <w:p>
      <w:pPr>
        <w:spacing w:after="120" w:before="120" w:line="276"/>
      </w:pPr>
      <w:r>
        <w:rPr>
          <w:rFonts w:ascii="Arial" w:cs="Arial" w:eastAsia="Arial" w:hAnsi="Arial"/>
          <w:color w:val="2D2D2D"/>
          <w:sz w:val="22"/>
          <w:szCs w:val="22"/>
        </w:rPr>
        <w:t xml:space="preserve">By integrating best-practice cycle times at the task, activity, functional, and overall lifecycle levels, this document establishes clear Service Level Agreements (SLAs) and provides the operational visibility needed to identify bottlenecks, eliminate rework, and drive continuous process improvement. The target end-to-end lifecycle for a standard-risk initiative is compressed from the industry average of 90–120 days to a best-practice target of 29–45 days through systematic application of the acceleration strategies detailed herein—a 68–75% reduction achieved through BPMN workflow automation, front-loaded knowledge capture, AI agent swarm due diligence, risk-tiered governance routing, and in-sprint compliance with policy-as-code validation.</w:t>
      </w:r>
    </w:p>
    <w:p>
      <w:pPr>
        <w:pStyle w:val="Heading1"/>
        <w:spacing w:after="200" w:before="360"/>
      </w:pPr>
      <w:r>
        <w:rPr>
          <w:rFonts w:ascii="Arial" w:cs="Arial" w:eastAsia="Arial" w:hAnsi="Arial"/>
          <w:b/>
          <w:bCs/>
          <w:color w:val="1B3A5C"/>
          <w:sz w:val="32"/>
          <w:szCs w:val="32"/>
        </w:rPr>
        <w:t xml:space="preserve">1.2 Purpose and Scope</w:t>
      </w:r>
    </w:p>
    <w:p>
      <w:pPr>
        <w:spacing w:after="120" w:before="120" w:line="276"/>
      </w:pPr>
      <w:r>
        <w:rPr>
          <w:rFonts w:ascii="Arial" w:cs="Arial" w:eastAsia="Arial" w:hAnsi="Arial"/>
          <w:color w:val="2D2D2D"/>
          <w:sz w:val="22"/>
          <w:szCs w:val="22"/>
        </w:rPr>
        <w:t xml:space="preserve">This playbook serves as the single authoritative reference for all stakeholders involved in the enterprise software lifecycle within regulated financial services institutions. Its scope encompasses the complete journey of any engineering initiative, whether that initiative requires building new software, procuring vendor technology, reusing existing enterprise capabilities, or pursuing a hybrid approach.</w:t>
      </w:r>
    </w:p>
    <w:p>
      <w:pPr>
        <w:spacing w:after="120" w:before="120" w:line="276"/>
      </w:pPr>
      <w:r>
        <w:rPr>
          <w:rFonts w:ascii="Arial" w:cs="Arial" w:eastAsia="Arial" w:hAnsi="Arial"/>
          <w:b/>
          <w:bCs/>
          <w:color w:val="2D2D2D"/>
          <w:sz w:val="22"/>
          <w:szCs w:val="22"/>
        </w:rPr>
        <w:t xml:space="preserve">Build Pathway: </w:t>
      </w:r>
      <w:r>
        <w:rPr>
          <w:rFonts w:ascii="Arial" w:cs="Arial" w:eastAsia="Arial" w:hAnsi="Arial"/>
          <w:color w:val="2D2D2D"/>
          <w:sz w:val="22"/>
          <w:szCs w:val="22"/>
        </w:rPr>
        <w:t xml:space="preserve">Internally developed solutions following the Agentic SDLC with SubAgent ecosystems, Context Envelope architecture, compliance-driven development, and DevSecOps AI integration through collapsed development phases.</w:t>
      </w:r>
    </w:p>
    <w:p>
      <w:pPr>
        <w:spacing w:after="120" w:before="120" w:line="276"/>
      </w:pPr>
      <w:r>
        <w:rPr>
          <w:rFonts w:ascii="Arial" w:cs="Arial" w:eastAsia="Arial" w:hAnsi="Arial"/>
          <w:b/>
          <w:bCs/>
          <w:color w:val="2D2D2D"/>
          <w:sz w:val="22"/>
          <w:szCs w:val="22"/>
        </w:rPr>
        <w:t xml:space="preserve">Buy Pathway: </w:t>
      </w:r>
      <w:r>
        <w:rPr>
          <w:rFonts w:ascii="Arial" w:cs="Arial" w:eastAsia="Arial" w:hAnsi="Arial"/>
          <w:color w:val="2D2D2D"/>
          <w:sz w:val="22"/>
          <w:szCs w:val="22"/>
        </w:rPr>
        <w:t xml:space="preserve">Vendor-sourced solutions following the full TPRM lifecycle with multi-agent swarm evaluation, front-loaded evidence harvesting, risk-tiered governance review, and continuous monitoring through Trust Center integration.</w:t>
      </w:r>
    </w:p>
    <w:p>
      <w:pPr>
        <w:spacing w:after="120" w:before="120" w:line="276"/>
      </w:pPr>
      <w:r>
        <w:rPr>
          <w:rFonts w:ascii="Arial" w:cs="Arial" w:eastAsia="Arial" w:hAnsi="Arial"/>
          <w:b/>
          <w:bCs/>
          <w:color w:val="2D2D2D"/>
          <w:sz w:val="22"/>
          <w:szCs w:val="22"/>
        </w:rPr>
        <w:t xml:space="preserve">Reuse Pathway: </w:t>
      </w:r>
      <w:r>
        <w:rPr>
          <w:rFonts w:ascii="Arial" w:cs="Arial" w:eastAsia="Arial" w:hAnsi="Arial"/>
          <w:color w:val="2D2D2D"/>
          <w:sz w:val="22"/>
          <w:szCs w:val="22"/>
        </w:rPr>
        <w:t xml:space="preserve">Existing enterprise capabilities identified through mandatory registry queries with semantic matching, generating five-outcome decision tables that determine reuse eligibility before new development or procurement is authorized.</w:t>
      </w:r>
    </w:p>
    <w:p>
      <w:pPr>
        <w:spacing w:after="120" w:before="120" w:line="276"/>
      </w:pPr>
      <w:r>
        <w:rPr>
          <w:rFonts w:ascii="Arial" w:cs="Arial" w:eastAsia="Arial" w:hAnsi="Arial"/>
          <w:b/>
          <w:bCs/>
          <w:color w:val="2D2D2D"/>
          <w:sz w:val="22"/>
          <w:szCs w:val="22"/>
        </w:rPr>
        <w:t xml:space="preserve">Hybrid Pathway: </w:t>
      </w:r>
      <w:r>
        <w:rPr>
          <w:rFonts w:ascii="Arial" w:cs="Arial" w:eastAsia="Arial" w:hAnsi="Arial"/>
          <w:color w:val="2D2D2D"/>
          <w:sz w:val="22"/>
          <w:szCs w:val="22"/>
        </w:rPr>
        <w:t xml:space="preserve">Combined build-and-buy approaches where the institution develops integration layers around vendor-provided core capabilities, requiring simultaneous governance of both TPRM and SDLC workflows.</w:t>
      </w:r>
    </w:p>
    <w:p>
      <w:pPr>
        <w:spacing w:after="120" w:before="120" w:line="276"/>
      </w:pPr>
      <w:r>
        <w:rPr>
          <w:rFonts w:ascii="Arial" w:cs="Arial" w:eastAsia="Arial" w:hAnsi="Arial"/>
          <w:color w:val="2D2D2D"/>
          <w:sz w:val="22"/>
          <w:szCs w:val="22"/>
        </w:rPr>
        <w:t xml:space="preserve">The framework applies to all initiative types including new application development, legacy modernization, API development, vendor onboarding, AI/ML model deployment, cloud migration, and infrastructure modernization. Each initiative enters through a single intake mechanism and is routed to the appropriate pathway based on deterministic risk classification and capability reuse assessment.</w:t>
      </w:r>
    </w:p>
    <w:p>
      <w:pPr>
        <w:pStyle w:val="Heading1"/>
        <w:spacing w:after="200" w:before="360"/>
      </w:pPr>
      <w:r>
        <w:rPr>
          <w:rFonts w:ascii="Arial" w:cs="Arial" w:eastAsia="Arial" w:hAnsi="Arial"/>
          <w:b/>
          <w:bCs/>
          <w:color w:val="1B3A5C"/>
          <w:sz w:val="32"/>
          <w:szCs w:val="32"/>
        </w:rPr>
        <w:t xml:space="preserve">1.3 Document Architecture</w:t>
      </w:r>
    </w:p>
    <w:p>
      <w:pPr>
        <w:spacing w:after="120" w:before="120" w:line="276"/>
      </w:pPr>
      <w:r>
        <w:rPr>
          <w:rFonts w:ascii="Arial" w:cs="Arial" w:eastAsia="Arial" w:hAnsi="Arial"/>
          <w:color w:val="2D2D2D"/>
          <w:sz w:val="22"/>
          <w:szCs w:val="22"/>
        </w:rPr>
        <w:t xml:space="preserve">This playbook is organized into eight sections, each addressing a distinct domain of the enterprise software lifecycle while maintaining full traceability and cross-referencing across sections. The architecture ensures that governance requirements established in early sections flow as executable constraints into operational sections downstream.</w:t>
      </w:r>
    </w:p>
    <w:p>
      <w:pPr>
        <w:spacing w:after="120" w:before="120" w:line="276"/>
      </w:pPr>
      <w:r>
        <w:rPr>
          <w:rFonts w:ascii="Arial" w:cs="Arial" w:eastAsia="Arial" w:hAnsi="Arial"/>
          <w:b/>
          <w:bCs/>
          <w:color w:val="2D2D2D"/>
          <w:sz w:val="22"/>
          <w:szCs w:val="22"/>
        </w:rPr>
        <w:t xml:space="preserve">Section 1 – Strategic Foundation and End-to-End Lifecycle: </w:t>
      </w:r>
      <w:r>
        <w:rPr>
          <w:rFonts w:ascii="Arial" w:cs="Arial" w:eastAsia="Arial" w:hAnsi="Arial"/>
          <w:color w:val="2D2D2D"/>
          <w:sz w:val="22"/>
          <w:szCs w:val="22"/>
        </w:rPr>
        <w:t xml:space="preserve">Establishes foundational principles, the integrated governance operating model, the primary BPMN workflow architecture, the 8-phase lifecycle with task-level SLAs, and the cycle time compression strategy.</w:t>
      </w:r>
    </w:p>
    <w:p>
      <w:pPr>
        <w:spacing w:after="120" w:before="120" w:line="276"/>
      </w:pPr>
      <w:r>
        <w:rPr>
          <w:rFonts w:ascii="Arial" w:cs="Arial" w:eastAsia="Arial" w:hAnsi="Arial"/>
          <w:b/>
          <w:bCs/>
          <w:color w:val="2D2D2D"/>
          <w:sz w:val="22"/>
          <w:szCs w:val="22"/>
        </w:rPr>
        <w:t xml:space="preserve">Section 2 – Agentic SDLC Architecture: </w:t>
      </w:r>
      <w:r>
        <w:rPr>
          <w:rFonts w:ascii="Arial" w:cs="Arial" w:eastAsia="Arial" w:hAnsi="Arial"/>
          <w:color w:val="2D2D2D"/>
          <w:sz w:val="22"/>
          <w:szCs w:val="22"/>
        </w:rPr>
        <w:t xml:space="preserve">Defines the SubAgent ecosystem, Context Envelope architecture, collapsed SDLC phases, self-healing implementation loops, and the Hooks System for the Build pathway.</w:t>
      </w:r>
    </w:p>
    <w:p>
      <w:pPr>
        <w:spacing w:after="120" w:before="120" w:line="276"/>
      </w:pPr>
      <w:r>
        <w:rPr>
          <w:rFonts w:ascii="Arial" w:cs="Arial" w:eastAsia="Arial" w:hAnsi="Arial"/>
          <w:b/>
          <w:bCs/>
          <w:color w:val="2D2D2D"/>
          <w:sz w:val="22"/>
          <w:szCs w:val="22"/>
        </w:rPr>
        <w:t xml:space="preserve">Section 3 – DevSecOps AI Framework: </w:t>
      </w:r>
      <w:r>
        <w:rPr>
          <w:rFonts w:ascii="Arial" w:cs="Arial" w:eastAsia="Arial" w:hAnsi="Arial"/>
          <w:color w:val="2D2D2D"/>
          <w:sz w:val="22"/>
          <w:szCs w:val="22"/>
        </w:rPr>
        <w:t xml:space="preserve">Specifies the People, Process, and Technology dimensions of AI-enhanced development including enterprise CI/CD pipeline automation, multi-layer code review, and security architecture.</w:t>
      </w:r>
    </w:p>
    <w:p>
      <w:pPr>
        <w:spacing w:after="120" w:before="120" w:line="276"/>
      </w:pPr>
      <w:r>
        <w:rPr>
          <w:rFonts w:ascii="Arial" w:cs="Arial" w:eastAsia="Arial" w:hAnsi="Arial"/>
          <w:b/>
          <w:bCs/>
          <w:color w:val="2D2D2D"/>
          <w:sz w:val="22"/>
          <w:szCs w:val="22"/>
        </w:rPr>
        <w:t xml:space="preserve">Section 4 – Third-Party Risk Management: </w:t>
      </w:r>
      <w:r>
        <w:rPr>
          <w:rFonts w:ascii="Arial" w:cs="Arial" w:eastAsia="Arial" w:hAnsi="Arial"/>
          <w:color w:val="2D2D2D"/>
          <w:sz w:val="22"/>
          <w:szCs w:val="22"/>
        </w:rPr>
        <w:t xml:space="preserve">Details the complete TPRM lifecycle with agent swarm orchestration patterns, Trust Center integration, front-loaded evidence harvesting, and shift-left DevSecOps integration for the Buy pathway.</w:t>
      </w:r>
    </w:p>
    <w:p>
      <w:pPr>
        <w:spacing w:after="120" w:before="120" w:line="276"/>
      </w:pPr>
      <w:r>
        <w:rPr>
          <w:rFonts w:ascii="Arial" w:cs="Arial" w:eastAsia="Arial" w:hAnsi="Arial"/>
          <w:b/>
          <w:bCs/>
          <w:color w:val="2D2D2D"/>
          <w:sz w:val="22"/>
          <w:szCs w:val="22"/>
        </w:rPr>
        <w:t xml:space="preserve">Section 5 – AI Governance and Testing: </w:t>
      </w:r>
      <w:r>
        <w:rPr>
          <w:rFonts w:ascii="Arial" w:cs="Arial" w:eastAsia="Arial" w:hAnsi="Arial"/>
          <w:color w:val="2D2D2D"/>
          <w:sz w:val="22"/>
          <w:szCs w:val="22"/>
        </w:rPr>
        <w:t xml:space="preserve">Covers AI system inventory and classification, risk management controls, ethical AI principles, model documentation standards, and the comprehensive testing framework.</w:t>
      </w:r>
    </w:p>
    <w:p>
      <w:pPr>
        <w:spacing w:after="120" w:before="120" w:line="276"/>
      </w:pPr>
      <w:r>
        <w:rPr>
          <w:rFonts w:ascii="Arial" w:cs="Arial" w:eastAsia="Arial" w:hAnsi="Arial"/>
          <w:b/>
          <w:bCs/>
          <w:color w:val="2D2D2D"/>
          <w:sz w:val="22"/>
          <w:szCs w:val="22"/>
        </w:rPr>
        <w:t xml:space="preserve">Section 6 – Development Standards and Operational Domains: </w:t>
      </w:r>
      <w:r>
        <w:rPr>
          <w:rFonts w:ascii="Arial" w:cs="Arial" w:eastAsia="Arial" w:hAnsi="Arial"/>
          <w:color w:val="2D2D2D"/>
          <w:sz w:val="22"/>
          <w:szCs w:val="22"/>
        </w:rPr>
        <w:t xml:space="preserve">Defines coding standards, quality assurance frameworks, and operational domain specifications across SecOps, CloudOps, DataOps, MLOps, LLMOps, and FinOps.</w:t>
      </w:r>
    </w:p>
    <w:p>
      <w:pPr>
        <w:spacing w:after="120" w:before="120" w:line="276"/>
      </w:pPr>
      <w:r>
        <w:rPr>
          <w:rFonts w:ascii="Arial" w:cs="Arial" w:eastAsia="Arial" w:hAnsi="Arial"/>
          <w:b/>
          <w:bCs/>
          <w:color w:val="2D2D2D"/>
          <w:sz w:val="22"/>
          <w:szCs w:val="22"/>
        </w:rPr>
        <w:t xml:space="preserve">Section 7 – Acceleration, Measurement, and Operating Model: </w:t>
      </w:r>
      <w:r>
        <w:rPr>
          <w:rFonts w:ascii="Arial" w:cs="Arial" w:eastAsia="Arial" w:hAnsi="Arial"/>
          <w:color w:val="2D2D2D"/>
          <w:sz w:val="22"/>
          <w:szCs w:val="22"/>
        </w:rPr>
        <w:t xml:space="preserve">Establishes the dual-track transformation framework, A/B testing methodology, productivity models, automation ROI, and the 90-day implementation rhythm.</w:t>
      </w:r>
    </w:p>
    <w:p>
      <w:pPr>
        <w:spacing w:after="120" w:before="120" w:line="276"/>
      </w:pPr>
      <w:r>
        <w:rPr>
          <w:rFonts w:ascii="Arial" w:cs="Arial" w:eastAsia="Arial" w:hAnsi="Arial"/>
          <w:b/>
          <w:bCs/>
          <w:color w:val="2D2D2D"/>
          <w:sz w:val="22"/>
          <w:szCs w:val="22"/>
        </w:rPr>
        <w:t xml:space="preserve">Section 8 – Dependencies, Continuous Improvement, and References: </w:t>
      </w:r>
      <w:r>
        <w:rPr>
          <w:rFonts w:ascii="Arial" w:cs="Arial" w:eastAsia="Arial" w:hAnsi="Arial"/>
          <w:color w:val="2D2D2D"/>
          <w:sz w:val="22"/>
          <w:szCs w:val="22"/>
        </w:rPr>
        <w:t xml:space="preserve">Provides cross-phase dependency mapping, process mining specifications, benchmark recalibration methodology, and the complete works cited.</w:t>
      </w:r>
    </w:p>
    <w:p>
      <w:pPr>
        <w:pStyle w:val="Heading1"/>
        <w:spacing w:after="200" w:before="360"/>
      </w:pPr>
      <w:r>
        <w:rPr>
          <w:rFonts w:ascii="Arial" w:cs="Arial" w:eastAsia="Arial" w:hAnsi="Arial"/>
          <w:b/>
          <w:bCs/>
          <w:color w:val="1B3A5C"/>
          <w:sz w:val="32"/>
          <w:szCs w:val="32"/>
        </w:rPr>
        <w:t xml:space="preserve">1.4 Foundational Principles</w:t>
      </w:r>
    </w:p>
    <w:p>
      <w:pPr>
        <w:spacing w:after="120" w:before="120" w:line="276"/>
      </w:pPr>
      <w:r>
        <w:rPr>
          <w:rFonts w:ascii="Arial" w:cs="Arial" w:eastAsia="Arial" w:hAnsi="Arial"/>
          <w:color w:val="2D2D2D"/>
          <w:sz w:val="22"/>
          <w:szCs w:val="22"/>
        </w:rPr>
        <w:t xml:space="preserve">The entire framework is anchored to three non-negotiable foundational principles that inform every architectural decision, workflow design, and automation strategy across all eight phases of the lifecycle.</w:t>
      </w:r>
    </w:p>
    <w:p>
      <w:pPr>
        <w:pStyle w:val="Heading2"/>
        <w:spacing w:after="160" w:before="280"/>
      </w:pPr>
      <w:r>
        <w:rPr>
          <w:rFonts w:ascii="Arial" w:cs="Arial" w:eastAsia="Arial" w:hAnsi="Arial"/>
          <w:b/>
          <w:bCs/>
          <w:color w:val="2E75B6"/>
          <w:sz w:val="26"/>
          <w:szCs w:val="26"/>
        </w:rPr>
        <w:t xml:space="preserve">1.4.1 Deterministic Knowledge Capture</w:t>
      </w:r>
    </w:p>
    <w:p>
      <w:pPr>
        <w:spacing w:after="120" w:before="120" w:line="276"/>
      </w:pPr>
      <w:r>
        <w:rPr>
          <w:rFonts w:ascii="Arial" w:cs="Arial" w:eastAsia="Arial" w:hAnsi="Arial"/>
          <w:color w:val="2D2D2D"/>
          <w:sz w:val="22"/>
          <w:szCs w:val="22"/>
        </w:rPr>
        <w:t xml:space="preserve">One of the most significant sources of cycle time waste in traditional governance processes is the serial collection of information—where data needed in Phase 5 is only requested after Phase 4 completes. This framework redesigns the information flow to harvest high-value information upstream, compressing downstream cycle times by 40–60%.</w:t>
      </w:r>
    </w:p>
    <w:p>
      <w:pPr>
        <w:spacing w:after="120" w:before="120" w:line="276"/>
      </w:pPr>
      <w:r>
        <w:rPr>
          <w:rFonts w:ascii="Arial" w:cs="Arial" w:eastAsia="Arial" w:hAnsi="Arial"/>
          <w:color w:val="2D2D2D"/>
          <w:sz w:val="22"/>
          <w:szCs w:val="22"/>
        </w:rPr>
        <w:t xml:space="preserve">The deterministic knowledge capture model is anchored to four foundations. First, a Pre-Defined Data Taxonomy catalogues every information element required across all 8 phases in a master taxonomy. At intake, the system knows exactly what it will need for every downstream phase and begins collection immediately. Second, a Pre-Structured Knowledge Base mirrors the governance and compliance framework structure so that when evidence is collected, it is automatically classified and stored in the correct location for downstream consumption. Third, Programmatic Governance Logic encodes control requirements, approval thresholds, escalation rules, and SLA timelines as executable rules in the BPM engine, eliminating interpretation variance and ensuring consistent application of governance standards. Fourth, the Cumulative Knowledge Effect ensures each completed assessment enriches the knowledge base, with subsequent assessments for similar profiles benefiting from prior evidence patterns, benchmark data, and established risk profiles—reducing incremental assessment effort by 30–50% over time.</w:t>
      </w:r>
    </w:p>
    <w:p>
      <w:pPr>
        <w:pStyle w:val="Heading2"/>
        <w:spacing w:after="160" w:before="280"/>
      </w:pPr>
      <w:r>
        <w:rPr>
          <w:rFonts w:ascii="Arial" w:cs="Arial" w:eastAsia="Arial" w:hAnsi="Arial"/>
          <w:b/>
          <w:bCs/>
          <w:color w:val="2E75B6"/>
          <w:sz w:val="26"/>
          <w:szCs w:val="26"/>
        </w:rPr>
        <w:t xml:space="preserve">1.4.2 Automation-First Design</w:t>
      </w:r>
    </w:p>
    <w:p>
      <w:pPr>
        <w:spacing w:after="120" w:before="120" w:line="276"/>
      </w:pPr>
      <w:r>
        <w:rPr>
          <w:rFonts w:ascii="Arial" w:cs="Arial" w:eastAsia="Arial" w:hAnsi="Arial"/>
          <w:color w:val="2D2D2D"/>
          <w:sz w:val="22"/>
          <w:szCs w:val="22"/>
        </w:rPr>
        <w:t xml:space="preserve">Every task in the lifecycle is evaluated against an automation hierarchy. Fully automatable tasks—such as intake validation, risk scoring, regulatory mapping, evidence collection from Trust Centers, governance package assembly, and post-deployment monitoring—are executed by the BPM engine or AI agents without human intervention. Partially automatable tasks—such as financial impact modeling, contract negotiation, and development execution—are augmented by AI agents that draft, recommend, and validate while humans provide strategic oversight. Only tasks that require irreducible human judgment—such as governance committee decisions on high-risk initiatives, fundamental architectural choices, and exception management—remain in the manual domain.</w:t>
      </w:r>
    </w:p>
    <w:p>
      <w:pPr>
        <w:spacing w:after="120" w:before="120" w:line="276"/>
      </w:pPr>
      <w:r>
        <w:rPr>
          <w:rFonts w:ascii="Arial" w:cs="Arial" w:eastAsia="Arial" w:hAnsi="Arial"/>
          <w:color w:val="2D2D2D"/>
          <w:sz w:val="22"/>
          <w:szCs w:val="22"/>
        </w:rPr>
        <w:t xml:space="preserve">This principle extends into the SDLC itself through the agentic development model. Agents maximize autonomy by acting independently, completing tasks end-to-end, self-troubleshooting through multiple approaches before escalation, taking initiative on logical next steps, and using tools directly rather than delegating to humans. Human input is reserved exclusively for security-critical decisions affecting system integrity, business-critical decisions with significant financial impact, irreversible production actions, true authentication barriers, and fundamental approach decisions that substantially alter project architecture.</w:t>
      </w:r>
    </w:p>
    <w:p>
      <w:pPr>
        <w:pStyle w:val="Heading2"/>
        <w:spacing w:after="160" w:before="280"/>
      </w:pPr>
      <w:r>
        <w:rPr>
          <w:rFonts w:ascii="Arial" w:cs="Arial" w:eastAsia="Arial" w:hAnsi="Arial"/>
          <w:b/>
          <w:bCs/>
          <w:color w:val="2E75B6"/>
          <w:sz w:val="26"/>
          <w:szCs w:val="26"/>
        </w:rPr>
        <w:t xml:space="preserve">1.4.3 Governance by Design</w:t>
      </w:r>
    </w:p>
    <w:p>
      <w:pPr>
        <w:spacing w:after="120" w:before="120" w:line="276"/>
      </w:pPr>
      <w:r>
        <w:rPr>
          <w:rFonts w:ascii="Arial" w:cs="Arial" w:eastAsia="Arial" w:hAnsi="Arial"/>
          <w:color w:val="2D2D2D"/>
          <w:sz w:val="22"/>
          <w:szCs w:val="22"/>
        </w:rPr>
        <w:t xml:space="preserve">Governance is not a gate bolted onto the end of a process; it is woven into the fabric of every phase. This principle manifests in three ways. First, control requirements are embedded into the workflow architecture itself through BPMN sub-processes, exclusive gateways, and timer events that enforce governance cadences without requiring manual intervention. Second, compliance validation occurs continuously during development through policy-as-code enforcement in CI/CD pipelines, in-sprint compliance checkpoints, and agent-driven code review for regulatory compliance patterns—not just at phase gates. Third, a three-level gap analysis methodology ensures complete traceability from regulatory requirement to control objective to lifecycle phase to evidence collection to audit trail, with no control gaps permitted at the framework, lifecycle, or evidence coverage levels.</w:t>
      </w:r>
    </w:p>
    <w:p>
      <w:pPr>
        <w:spacing w:after="120" w:before="120" w:line="276"/>
      </w:pPr>
      <w:r>
        <w:rPr>
          <w:rFonts w:ascii="Arial" w:cs="Arial" w:eastAsia="Arial" w:hAnsi="Arial"/>
          <w:color w:val="2D2D2D"/>
          <w:sz w:val="22"/>
          <w:szCs w:val="22"/>
        </w:rPr>
        <w:t xml:space="preserve">This principle also establishes the shift-left integration between TPRM and development. The standards that the institution demands of its vendors—SOC 2 compliance, bias testing, model cards, monitoring cadences, SBOM generation, drift detection—symmetrically apply as build requirements when the institution develops internally. Software Composition Analysis tools and dynamic vulnerability scanners evaluate code against the institution's pre-approved vendor lists, known vulnerability databases, and strict risk policies within the CI/CD pipeline during development, ensuring the same governance rigor applied to third-party technology governs internally-built solutions.</w:t>
      </w:r>
    </w:p>
    <w:p>
      <w:r>
        <w:br w:type="page"/>
      </w:r>
    </w:p>
    <w:p>
      <w:pPr>
        <w:pStyle w:val="Heading1"/>
        <w:spacing w:after="200" w:before="360"/>
      </w:pPr>
      <w:r>
        <w:rPr>
          <w:rFonts w:ascii="Arial" w:cs="Arial" w:eastAsia="Arial" w:hAnsi="Arial"/>
          <w:b/>
          <w:bCs/>
          <w:color w:val="1B3A5C"/>
          <w:sz w:val="32"/>
          <w:szCs w:val="32"/>
        </w:rPr>
        <w:t xml:space="preserve">1.5 Strategic Vision: From Task Execution to Intent Orchestration</w:t>
      </w:r>
    </w:p>
    <w:p>
      <w:pPr>
        <w:spacing w:after="120" w:before="120" w:line="276"/>
      </w:pPr>
      <w:r>
        <w:rPr>
          <w:rFonts w:ascii="Arial" w:cs="Arial" w:eastAsia="Arial" w:hAnsi="Arial"/>
          <w:color w:val="2D2D2D"/>
          <w:sz w:val="22"/>
          <w:szCs w:val="22"/>
        </w:rPr>
        <w:t xml:space="preserve">This framework operationalizes a fundamental paradigm shift in how enterprises create, acquire, and govern software. The traditional model positioned engineers as writers of code, architects as producers of documentation, and governance teams as gatekeepers who review completed work. The agentic model repositions all of these roles.</w:t>
      </w:r>
    </w:p>
    <w:p>
      <w:pPr>
        <w:spacing w:after="120" w:before="120" w:line="276"/>
      </w:pPr>
      <w:r>
        <w:rPr>
          <w:rFonts w:ascii="Arial" w:cs="Arial" w:eastAsia="Arial" w:hAnsi="Arial"/>
          <w:color w:val="2D2D2D"/>
          <w:sz w:val="22"/>
          <w:szCs w:val="22"/>
        </w:rPr>
        <w:t xml:space="preserve">Engineers become Directors of Intent—strategic orchestrators who define the "what" with precision while AI agents handle the "how" through autonomous execution. The engineer's focus shifts to system thinking, security architecture, complex problem-solving, and quality judgment. The framework specifically targets automating the toil that engineers dislike: documentation and README maintenance, drafting PRDs and technical specifications, deciphering and mapping legacy application logic, and authoring repetitive unit and integration tests.</w:t>
      </w:r>
    </w:p>
    <w:p>
      <w:pPr>
        <w:spacing w:after="120" w:before="120" w:line="276"/>
      </w:pPr>
      <w:r>
        <w:rPr>
          <w:rFonts w:ascii="Arial" w:cs="Arial" w:eastAsia="Arial" w:hAnsi="Arial"/>
          <w:color w:val="2D2D2D"/>
          <w:sz w:val="22"/>
          <w:szCs w:val="22"/>
        </w:rPr>
        <w:t xml:space="preserve">Governance teams shift from periodic reviewers to continuous oversight operators. Rather than reviewing completed packages at phase gates, governance requirements are encoded as executable rules that validate compliance in real-time. The governance team's role becomes designing the rules, monitoring the exceptions, and continuously improving the control framework—not manually checking evidence.</w:t>
      </w:r>
    </w:p>
    <w:p>
      <w:pPr>
        <w:spacing w:after="120" w:before="120" w:line="276"/>
      </w:pPr>
      <w:r>
        <w:rPr>
          <w:rFonts w:ascii="Arial" w:cs="Arial" w:eastAsia="Arial" w:hAnsi="Arial"/>
          <w:color w:val="2D2D2D"/>
          <w:sz w:val="22"/>
          <w:szCs w:val="22"/>
        </w:rPr>
        <w:t xml:space="preserve">TPRM teams shift from administrative document reviewers to strategic risk decision-makers, fully supported by a tireless ecosystem of digital specialists. Document ingestion agents parse vendor evidence, compliance agents cross-reference findings against regulatory benchmarks, and checker agents validate reasoning—while human analysts focus on interpreting edge cases, managing vendor relationships, and making risk-informed strategic decisions.</w:t>
      </w:r>
    </w:p>
    <w:p>
      <w:pPr>
        <w:spacing w:after="120" w:before="120" w:line="276"/>
      </w:pPr>
      <w:r>
        <w:rPr>
          <w:rFonts w:ascii="Arial" w:cs="Arial" w:eastAsia="Arial" w:hAnsi="Arial"/>
          <w:color w:val="2D2D2D"/>
          <w:sz w:val="22"/>
          <w:szCs w:val="22"/>
        </w:rPr>
        <w:t xml:space="preserve">This transformation is validated through a dual-track experimental framework. Track 1 (Automated Task Optimization) focuses on instrumentation and automation of discrete tasks across the lifecycle, proving that AI agents can handle the burden of execution with higher consistency and speed than manual efforts. Track 2 (Reimagined Team Coaching) coaches a small strike team through end-to-end processes from ideation to MVP, teaching teams to leverage AI as a central collaborator through Mob Elaboration and Mob Construction rituals. Both tracks are measured against rigorous A/B testing benchmarks: cycle time acceleration, prompt-to-commit success rate, defect density reduction, and documentation freshness.</w:t>
      </w:r>
    </w:p>
    <w:p>
      <w:pPr>
        <w:pStyle w:val="Heading1"/>
        <w:spacing w:after="200" w:before="360"/>
      </w:pPr>
      <w:r>
        <w:rPr>
          <w:rFonts w:ascii="Arial" w:cs="Arial" w:eastAsia="Arial" w:hAnsi="Arial"/>
          <w:b/>
          <w:bCs/>
          <w:color w:val="1B3A5C"/>
          <w:sz w:val="32"/>
          <w:szCs w:val="32"/>
        </w:rPr>
        <w:t xml:space="preserve">1.6 Regulatory Alignment Framework</w:t>
      </w:r>
    </w:p>
    <w:p>
      <w:pPr>
        <w:spacing w:after="120" w:before="120" w:line="276"/>
      </w:pPr>
      <w:r>
        <w:rPr>
          <w:rFonts w:ascii="Arial" w:cs="Arial" w:eastAsia="Arial" w:hAnsi="Arial"/>
          <w:color w:val="2D2D2D"/>
          <w:sz w:val="22"/>
          <w:szCs w:val="22"/>
        </w:rPr>
        <w:t xml:space="preserve">The framework maps to the complete regulatory landscape applicable to financial services institutions deploying enterprise software and engaging third-party technology providers. Every control requirement, governance gate, and monitoring cadence in this playbook traces to one or more of the following regulatory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60"/>
        <w:gridCol w:w="1500"/>
      </w:tblGrid>
      <w:tr>
        <w:tc>
          <w:tcPr>
            <w:tcW w:type="dxa" w:w="2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Regulatory Framework</w:t>
            </w:r>
          </w:p>
        </w:tc>
        <w:tc>
          <w:tcPr>
            <w:tcW w:type="dxa" w:w="54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Integration with This Framework</w:t>
            </w:r>
          </w:p>
        </w:tc>
        <w:tc>
          <w:tcPr>
            <w:tcW w:type="dxa" w:w="15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Phases</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OCC / Federal Reserve / FDIC Interagency Guidance on Third-Party Relationships (2023)</w:t>
            </w:r>
          </w:p>
        </w:tc>
        <w:tc>
          <w:tcPr>
            <w:tcW w:type="dxa" w:w="54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Establishes the risk-based approach to third-party risk management including planning, due diligence, contract negotiation, ongoing monitoring, and termination. This framework's 8-phase lifecycle directly operationalizes the Interagency Guidance's lifecycle requirements.</w:t>
            </w:r>
          </w:p>
        </w:tc>
        <w:tc>
          <w:tcPr>
            <w:tcW w:type="dxa" w:w="1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1–8</w:t>
            </w:r>
          </w:p>
        </w:tc>
      </w:tr>
      <w:tr>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SR 11-7: Guidance on Model Risk Management</w:t>
            </w:r>
          </w:p>
        </w:tc>
        <w:tc>
          <w:tcPr>
            <w:tcW w:type="dxa" w:w="54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Defines model risk management expectations for banking organizations including model development, implementation, use, and ongoing validation. The AI governance controls in this framework implement SR 11-7 requirements for AI/ML model lifecycle management.</w:t>
            </w:r>
          </w:p>
        </w:tc>
        <w:tc>
          <w:tcPr>
            <w:tcW w:type="dxa" w:w="1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2, 3, 4, 6, 8</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NIST AI Risk Management Framework (AI RMF 1.0)</w:t>
            </w:r>
          </w:p>
        </w:tc>
        <w:tc>
          <w:tcPr>
            <w:tcW w:type="dxa" w:w="54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Provides a voluntary framework for managing AI risks through four functions: Govern, Map, Measure, and Manage. The AI governance operating model maps to all four AI RMF functions.</w:t>
            </w:r>
          </w:p>
        </w:tc>
        <w:tc>
          <w:tcPr>
            <w:tcW w:type="dxa" w:w="1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All Phases</w:t>
            </w:r>
          </w:p>
        </w:tc>
      </w:tr>
      <w:tr>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Financial Services AI Risk Management Framework (FS AI RMF)</w:t>
            </w:r>
          </w:p>
        </w:tc>
        <w:tc>
          <w:tcPr>
            <w:tcW w:type="dxa" w:w="54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Operationalizes 230 control objectives specific to financial services AI deployment, mapped to this framework's control taxonomy across all lifecycle phases.</w:t>
            </w:r>
          </w:p>
        </w:tc>
        <w:tc>
          <w:tcPr>
            <w:tcW w:type="dxa" w:w="1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All Phases</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NIST Cybersecurity Framework (CSF) 2.0</w:t>
            </w:r>
          </w:p>
        </w:tc>
        <w:tc>
          <w:tcPr>
            <w:tcW w:type="dxa" w:w="54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Provides the five-function framework (Identify, Protect, Detect, Respond, Recover) used as the primary cybersecurity control taxonomy for both internal development and third-party assessment.</w:t>
            </w:r>
          </w:p>
        </w:tc>
        <w:tc>
          <w:tcPr>
            <w:tcW w:type="dxa" w:w="1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3, 5, 6, 8</w:t>
            </w:r>
          </w:p>
        </w:tc>
      </w:tr>
      <w:tr>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ISO 27001:2022</w:t>
            </w:r>
          </w:p>
        </w:tc>
        <w:tc>
          <w:tcPr>
            <w:tcW w:type="dxa" w:w="54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International standard for information security management systems. Controls from Annex A are mapped to the control framework alignment matrix for both vendor assessment and internal development governance.</w:t>
            </w:r>
          </w:p>
        </w:tc>
        <w:tc>
          <w:tcPr>
            <w:tcW w:type="dxa" w:w="1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3, 5, 6, 8</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DORA (Digital Operational Resilience Act)</w:t>
            </w:r>
          </w:p>
        </w:tc>
        <w:tc>
          <w:tcPr>
            <w:tcW w:type="dxa" w:w="54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EU regulation mandating ICT risk management, incident reporting, resilience testing, and third-party risk management for financial entities. Articles 5–30 are mapped to the TPRM lifecycle and operational monitoring phases.</w:t>
            </w:r>
          </w:p>
        </w:tc>
        <w:tc>
          <w:tcPr>
            <w:tcW w:type="dxa" w:w="1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2, 3, 5, 8</w:t>
            </w:r>
          </w:p>
        </w:tc>
      </w:tr>
      <w:tr>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EU AI Act</w:t>
            </w:r>
          </w:p>
        </w:tc>
        <w:tc>
          <w:tcPr>
            <w:tcW w:type="dxa" w:w="54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Establishes risk-based regulation of AI systems within the EU. The risk classification methodology in this framework aligns with the EU AI Act's four-tier risk classification (Unacceptable, High, Limited, Minimal).</w:t>
            </w:r>
          </w:p>
        </w:tc>
        <w:tc>
          <w:tcPr>
            <w:tcW w:type="dxa" w:w="1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2, 4, 6, 8</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SEC Rule 17a-4 / FINRA Recordkeeping</w:t>
            </w:r>
          </w:p>
        </w:tc>
        <w:tc>
          <w:tcPr>
            <w:tcW w:type="dxa" w:w="54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Requires immutable recordkeeping and third-party undertakings for broker-dealers. The audit logging and evidence collection mechanisms satisfy these recordkeeping requirements.</w:t>
            </w:r>
          </w:p>
        </w:tc>
        <w:tc>
          <w:tcPr>
            <w:tcW w:type="dxa" w:w="1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All Phases</w:t>
            </w:r>
          </w:p>
        </w:tc>
      </w:tr>
      <w:tr>
        <w:tc>
          <w:tcPr>
            <w:tcW w:type="dxa" w:w="2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GDPR / CCPA</w:t>
            </w:r>
          </w:p>
        </w:tc>
        <w:tc>
          <w:tcPr>
            <w:tcW w:type="dxa" w:w="54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Global data privacy regulations requiring data protection impact assessments, data processing agreements, and individual rights management. Integrated into intake data classification and contracting phases.</w:t>
            </w:r>
          </w:p>
        </w:tc>
        <w:tc>
          <w:tcPr>
            <w:tcW w:type="dxa" w:w="1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1, 2, 3, 5, 8</w:t>
            </w:r>
          </w:p>
        </w:tc>
      </w:tr>
      <w:tr>
        <w:tc>
          <w:tcPr>
            <w:tcW w:type="dxa" w:w="2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BCBS d577: Principles for Operational Resilience</w:t>
            </w:r>
          </w:p>
        </w:tc>
        <w:tc>
          <w:tcPr>
            <w:tcW w:type="dxa" w:w="54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Basel Committee standards for operational resilience in banking, including identification of critical operations, mapping of interconnections, and setting impact tolerances.</w:t>
            </w:r>
          </w:p>
        </w:tc>
        <w:tc>
          <w:tcPr>
            <w:tcW w:type="dxa" w:w="1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Phases 2, 3, 5, 8</w:t>
            </w:r>
          </w:p>
        </w:tc>
      </w:tr>
    </w:tbl>
    <w:p>
      <w:r>
        <w:br w:type="page"/>
      </w:r>
    </w:p>
    <w:p>
      <w:pPr>
        <w:spacing w:after="400" w:before="600"/>
        <w:jc w:val="center"/>
      </w:pPr>
      <w:r>
        <w:rPr>
          <w:rFonts w:ascii="Arial" w:cs="Arial" w:eastAsia="Arial" w:hAnsi="Arial"/>
          <w:b/>
          <w:bCs/>
          <w:color w:val="1B3A5C"/>
          <w:sz w:val="40"/>
          <w:szCs w:val="40"/>
        </w:rPr>
        <w:t xml:space="preserve">PART II</w:t>
      </w:r>
    </w:p>
    <w:p>
      <w:pPr>
        <w:spacing w:after="600"/>
        <w:jc w:val="center"/>
      </w:pPr>
      <w:r>
        <w:rPr>
          <w:rFonts w:ascii="Arial" w:cs="Arial" w:eastAsia="Arial" w:hAnsi="Arial"/>
          <w:color w:val="2E75B6"/>
          <w:sz w:val="32"/>
          <w:szCs w:val="32"/>
        </w:rPr>
        <w:t xml:space="preserve">End-to-End Lifecycle Architecture</w:t>
      </w:r>
    </w:p>
    <w:p>
      <w:pPr>
        <w:pStyle w:val="Heading1"/>
        <w:spacing w:after="200" w:before="360"/>
      </w:pPr>
      <w:r>
        <w:rPr>
          <w:rFonts w:ascii="Arial" w:cs="Arial" w:eastAsia="Arial" w:hAnsi="Arial"/>
          <w:b/>
          <w:bCs/>
          <w:color w:val="1B3A5C"/>
          <w:sz w:val="32"/>
          <w:szCs w:val="32"/>
        </w:rPr>
        <w:t xml:space="preserve">2.1 Integrated and Transparent AI Governance Operating Model</w:t>
      </w:r>
    </w:p>
    <w:p>
      <w:pPr>
        <w:spacing w:after="120" w:before="120" w:line="276"/>
      </w:pPr>
      <w:r>
        <w:rPr>
          <w:rFonts w:ascii="Arial" w:cs="Arial" w:eastAsia="Arial" w:hAnsi="Arial"/>
          <w:color w:val="2D2D2D"/>
          <w:sz w:val="22"/>
          <w:szCs w:val="22"/>
        </w:rPr>
        <w:t xml:space="preserve">The governance operating model establishes an end-to-end transparent AI governance program in which all processes and sub-processes are fully defined with RACI role definitions driving alignment across the organization and extended stakeholder teams. The model integrates four previously siloed governance domains—TPRM, AI Governance, PDLC, and Enterprise Software Governance—into a unified operating framework with a single intake mechanism, shared risk classification, common control taxonomy, and unified monitoring infrastructure.</w:t>
      </w:r>
    </w:p>
    <w:p>
      <w:pPr>
        <w:spacing w:after="120" w:before="120" w:line="276"/>
      </w:pPr>
      <w:r>
        <w:rPr>
          <w:rFonts w:ascii="Arial" w:cs="Arial" w:eastAsia="Arial" w:hAnsi="Arial"/>
          <w:color w:val="2D2D2D"/>
          <w:sz w:val="22"/>
          <w:szCs w:val="22"/>
        </w:rPr>
        <w:t xml:space="preserve">The operating model adopts a three lines of defense structure. The first line comprises business owners, engineering teams, and vendor management who own the risk of their initiatives and execute controls as defined by the governance framework. The second line comprises Risk, Compliance, AI Governance, and TPRM functions who design the control framework, monitor adherence, and provide advisory support. The third line comprises Internal Audit who provides independent verification of the program's efficacy and reports directly to the Board of Directors.</w:t>
      </w:r>
    </w:p>
    <w:p>
      <w:pPr>
        <w:pStyle w:val="Heading1"/>
        <w:spacing w:after="200" w:before="360"/>
      </w:pPr>
      <w:r>
        <w:rPr>
          <w:rFonts w:ascii="Arial" w:cs="Arial" w:eastAsia="Arial" w:hAnsi="Arial"/>
          <w:b/>
          <w:bCs/>
          <w:color w:val="1B3A5C"/>
          <w:sz w:val="32"/>
          <w:szCs w:val="32"/>
        </w:rPr>
        <w:t xml:space="preserve">2.2 Primary BPMN Workflow Architecture</w:t>
      </w:r>
    </w:p>
    <w:p>
      <w:pPr>
        <w:spacing w:after="120" w:before="120" w:line="276"/>
      </w:pPr>
      <w:r>
        <w:rPr>
          <w:rFonts w:ascii="Arial" w:cs="Arial" w:eastAsia="Arial" w:hAnsi="Arial"/>
          <w:color w:val="2D2D2D"/>
          <w:sz w:val="22"/>
          <w:szCs w:val="22"/>
        </w:rPr>
        <w:t xml:space="preserve">The master workflow follows a sequential, gate-controlled process with decision points that route initiatives through appropriate governance review paths based on risk classification. The process is designed as a BPMN 2.0 compliant workflow suitable for orchestration through Camunda, jBPM, or equivalent BPM engines. The architecture supports event-driven execution with real-time state management, parallel processing where phases permit concurrent execution, and timer events that enforce SLA cadences automatically.</w:t>
      </w:r>
    </w:p>
    <w:p>
      <w:pPr>
        <w:spacing w:after="120" w:before="120" w:line="276"/>
      </w:pPr>
      <w:r>
        <w:rPr>
          <w:rFonts w:ascii="Arial" w:cs="Arial" w:eastAsia="Arial" w:hAnsi="Arial"/>
          <w:color w:val="2D2D2D"/>
          <w:sz w:val="22"/>
          <w:szCs w:val="22"/>
        </w:rPr>
        <w:t xml:space="preserve">The workflow operates as a single BPMN 2.0 process with eight major phases, four risk-tiered review sub-processes, one monitoring loop sub-process, and three terminal end states (Use Case Retired, Use Case Terminated, and Use Case Rejected). Every decision point is implemented as an exclusive gateway (XOR) with deterministic routing rules encoded in Decision Model and Notation (DMN) tables, eliminating subjective interpretation and ensuring consistent governance application across all initiatives.</w:t>
      </w:r>
    </w:p>
    <w:p>
      <w:pPr>
        <w:pStyle w:val="Heading1"/>
        <w:spacing w:after="200" w:before="360"/>
      </w:pPr>
      <w:r>
        <w:rPr>
          <w:rFonts w:ascii="Arial" w:cs="Arial" w:eastAsia="Arial" w:hAnsi="Arial"/>
          <w:b/>
          <w:bCs/>
          <w:color w:val="1B3A5C"/>
          <w:sz w:val="32"/>
          <w:szCs w:val="32"/>
        </w:rPr>
        <w:t xml:space="preserve">2.3 Master Workflow Stages</w:t>
      </w:r>
    </w:p>
    <w:p>
      <w:pPr>
        <w:spacing w:after="120" w:before="120" w:line="276"/>
      </w:pPr>
      <w:r>
        <w:rPr>
          <w:rFonts w:ascii="Arial" w:cs="Arial" w:eastAsia="Arial" w:hAnsi="Arial"/>
          <w:color w:val="2D2D2D"/>
          <w:sz w:val="22"/>
          <w:szCs w:val="22"/>
        </w:rPr>
        <w:t xml:space="preserve">The lifecycle is organized into eight sequential phases with gateway decision points controlling progression. Each phase has defined inputs, outputs, gate types, decision criteria, and outcomes. The following table summarizes the master workflow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2560"/>
        <w:gridCol w:w="3000"/>
      </w:tblGrid>
      <w:tr>
        <w:tc>
          <w:tcPr>
            <w:tcW w:type="dxa" w:w="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Stage</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Activity</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Gate Type</w:t>
            </w:r>
          </w:p>
        </w:tc>
        <w:tc>
          <w:tcPr>
            <w:tcW w:type="dxa" w:w="2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Decision</w:t>
            </w:r>
          </w:p>
        </w:tc>
        <w:tc>
          <w:tcPr>
            <w:tcW w:type="dxa" w:w="3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Outcome</w:t>
            </w:r>
          </w:p>
        </w:tc>
      </w:tr>
      <w:tr>
        <w:tc>
          <w:tcPr>
            <w:tcW w:type="dxa" w:w="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1</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Initiation and Intake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Start Event</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N/A</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Intake form triggered, use case data collected, preliminary categorization and routing assignment completed.</w:t>
            </w:r>
          </w:p>
        </w:tc>
      </w:tr>
      <w:tr>
        <w:tc>
          <w:tcPr>
            <w:tcW w:type="dxa" w:w="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2</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Planning and Inherent Risk Scoping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Task + XOR Gateway</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Risk Tier: High / Limited / Minimal / Unacceptable</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Business case validated, strategic alignment confirmed, inherent risk score calculated, risk tier assigned, scope defined, knowledge harvesting initiated.</w:t>
            </w:r>
          </w:p>
        </w:tc>
      </w:tr>
      <w:tr>
        <w:tc>
          <w:tcPr>
            <w:tcW w:type="dxa" w:w="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3</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Due Diligence and Swarm Evaluation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Sub-Process</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N/A</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Vendor evidence collected, agent swarm analysis completed, cybersecurity assessment performed, AI model risk assessed, financial stability reviewed, operational resilience verified.</w:t>
            </w:r>
          </w:p>
        </w:tc>
      </w:tr>
      <w:tr>
        <w:tc>
          <w:tcPr>
            <w:tcW w:type="dxa" w:w="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4</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Governance Review and Approval</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Sub-Process + XOR Gateway</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Approved / Rejected / Conditional</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Assessment package assembled, risk-tiered review completed, decision documented. Approved: proceed to Controls. Rejected: Use Case Rejected end event.</w:t>
            </w:r>
          </w:p>
        </w:tc>
      </w:tr>
      <w:tr>
        <w:tc>
          <w:tcPr>
            <w:tcW w:type="dxa" w:w="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5</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Contracting and Controls Implementation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Task</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N/A</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Contract negotiated and executed, remediation tasks assigned, controls configured and mapped to frameworks, evidence collection established, knowledge base updated.</w:t>
            </w:r>
          </w:p>
        </w:tc>
      </w:tr>
      <w:tr>
        <w:tc>
          <w:tcPr>
            <w:tcW w:type="dxa" w:w="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6</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SDLC Development and Testing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Sub-Process</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N/A</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Solution built with governance controls embedded, security testing completed, compliance validated, AI-specific testing executed, pre-deployment review package assembled.</w:t>
            </w:r>
          </w:p>
        </w:tc>
      </w:tr>
      <w:tr>
        <w:tc>
          <w:tcPr>
            <w:tcW w:type="dxa" w:w="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7</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Deployment Decision and Go-Live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XOR Gateway</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Approved / Rejected</w:t>
            </w:r>
          </w:p>
        </w:tc>
        <w:tc>
          <w:tcPr>
            <w:tcW w:type="dxa" w:w="3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Deployment readiness assessed, production cutover executed, monitoring activated, post-deployment validated. Rejected: return to development.</w:t>
            </w:r>
          </w:p>
        </w:tc>
      </w:tr>
      <w:tr>
        <w:tc>
          <w:tcPr>
            <w:tcW w:type="dxa" w:w="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8</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Production Operations, Monitoring and Retirement</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Sub-Process with Loop</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Continue / Change / Retire</w:t>
            </w:r>
          </w:p>
        </w:tc>
        <w:tc>
          <w:tcPr>
            <w:tcW w:type="dxa" w:w="3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Continuous monitoring with risk-tiered cadence. Routes to Change Management, Continuous Improvement, or Decommission Plan based on evidence review outcomes.</w:t>
            </w:r>
          </w:p>
        </w:tc>
      </w:tr>
    </w:tbl>
    <w:p>
      <w:pPr>
        <w:spacing w:after="80" w:before="80"/>
      </w:pPr>
    </w:p>
    <w:p>
      <w:pPr>
        <w:pStyle w:val="Heading1"/>
        <w:spacing w:after="200" w:before="360"/>
      </w:pPr>
      <w:r>
        <w:rPr>
          <w:rFonts w:ascii="Arial" w:cs="Arial" w:eastAsia="Arial" w:hAnsi="Arial"/>
          <w:b/>
          <w:bCs/>
          <w:color w:val="1B3A5C"/>
          <w:sz w:val="32"/>
          <w:szCs w:val="32"/>
        </w:rPr>
        <w:t xml:space="preserve">2.4 Risk Classification and Tiered Review Routing</w:t>
      </w:r>
    </w:p>
    <w:p>
      <w:pPr>
        <w:spacing w:after="120" w:before="120" w:line="276"/>
      </w:pPr>
      <w:r>
        <w:rPr>
          <w:rFonts w:ascii="Arial" w:cs="Arial" w:eastAsia="Arial" w:hAnsi="Arial"/>
          <w:color w:val="2D2D2D"/>
          <w:sz w:val="22"/>
          <w:szCs w:val="22"/>
        </w:rPr>
        <w:t xml:space="preserve">Every initiative entering the lifecycle receives an inherent risk classification based on a weighted composite score across multiple dimensions: data sensitivity (PII, PHI, financial, proprietary), regulatory exposure (number and stringency of applicable regulations), operational criticality (impact of failure on business operations), AI complexity (model type, autonomy level, decision impact), and third-party dependency depth (Nth-party chain length and concentration risk). The risk classification determines the review path, governance authority, escalation mechanisms, and target cycle times for the initiative.</w:t>
      </w:r>
    </w:p>
    <w:p>
      <w:pPr>
        <w:spacing w:after="120" w:before="120" w:line="276"/>
      </w:pPr>
      <w:r>
        <w:rPr>
          <w:rFonts w:ascii="Arial" w:cs="Arial" w:eastAsia="Arial" w:hAnsi="Arial"/>
          <w:color w:val="2D2D2D"/>
          <w:sz w:val="22"/>
          <w:szCs w:val="22"/>
        </w:rPr>
        <w:t xml:space="preserve">The risk tier is assigned through a deterministic rule engine that applies a weighted risk model and generates a composite score. The system automatically classifies initiatives into one of four tiers and routes them to the appropriate governance review path. Unacceptable Risk initiatives are automatically rejected and do not proceed under any circumstance.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2160"/>
        <w:gridCol w:w="1400"/>
      </w:tblGrid>
      <w:tr>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Risk Tier</w:t>
            </w:r>
          </w:p>
        </w:tc>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Review Process</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Decision Authority</w:t>
            </w:r>
          </w:p>
        </w:tc>
        <w:tc>
          <w:tcPr>
            <w:tcW w:type="dxa" w:w="2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Escalation Path</w:t>
            </w:r>
          </w:p>
        </w:tc>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Target Cycle Time</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Minimal Risk</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Fast Path Review: Automated checks against pre-approved criteria with minimal human oversight. Single-reviewer approval for criteria matches.</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Fast Path Reviewer (delegated authority)</w:t>
            </w:r>
          </w:p>
        </w:tc>
        <w:tc>
          <w:tcPr>
            <w:tcW w:type="dxa" w:w="2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Escalated to Governance Committee if criteria not met</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business days</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Limited Risk</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Governance Committee Review: Standard review with compliance cross-reference and stakeholder input. Full committee deliberation required.</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Governance Committee</w:t>
            </w:r>
          </w:p>
        </w:tc>
        <w:tc>
          <w:tcPr>
            <w:tcW w:type="dxa" w:w="21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Escalated to Advisory Board if committee cannot reach consensus</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business days</w:t>
            </w:r>
          </w:p>
        </w:tc>
      </w:tr>
      <w:tr>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High Risk</w:t>
            </w:r>
          </w:p>
        </w:tc>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AI Governance Advisory Board: Full board review with legal, compliance, risk, and security representation. Comprehensive evidence evaluation.</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AI Governance Advisory Board</w:t>
            </w:r>
          </w:p>
        </w:tc>
        <w:tc>
          <w:tcPr>
            <w:tcW w:type="dxa" w:w="2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Rejected (no further escalation) or Exception Management Review</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5–10 business days</w:t>
            </w:r>
          </w:p>
        </w:tc>
      </w:tr>
      <w:tr>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Unacceptable Risk</w:t>
            </w:r>
          </w:p>
        </w:tc>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Automatic rejection: Use case does not proceed under any circumstance. Deterministic rule-based termination.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System (deterministic rule)</w:t>
            </w:r>
          </w:p>
        </w:tc>
        <w:tc>
          <w:tcPr>
            <w:tcW w:type="dxa" w:w="21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None—final determination</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Immediate</w:t>
            </w:r>
          </w:p>
        </w:tc>
      </w:tr>
    </w:tbl>
    <w:p>
      <w:pPr>
        <w:spacing w:after="80" w:before="80"/>
      </w:pPr>
    </w:p>
    <w:p>
      <w:pPr>
        <w:pStyle w:val="Heading1"/>
        <w:spacing w:after="200" w:before="360"/>
      </w:pPr>
      <w:r>
        <w:rPr>
          <w:rFonts w:ascii="Arial" w:cs="Arial" w:eastAsia="Arial" w:hAnsi="Arial"/>
          <w:b/>
          <w:bCs/>
          <w:color w:val="1B3A5C"/>
          <w:sz w:val="32"/>
          <w:szCs w:val="32"/>
        </w:rPr>
        <w:t xml:space="preserve">2.5 Pathway Decision Architecture</w:t>
      </w:r>
    </w:p>
    <w:p>
      <w:pPr>
        <w:spacing w:after="120" w:before="120" w:line="276"/>
      </w:pPr>
      <w:r>
        <w:rPr>
          <w:rFonts w:ascii="Arial" w:cs="Arial" w:eastAsia="Arial" w:hAnsi="Arial"/>
          <w:color w:val="2D2D2D"/>
          <w:sz w:val="22"/>
          <w:szCs w:val="22"/>
        </w:rPr>
        <w:t xml:space="preserve">Following risk classification, the intake routing mechanism determines which execution pathway the initiative follows. The pathway decision is made through a DMN decision table that evaluates capability reuse potential, build vs. buy analysis, organizational capacity, strategic alignment, and time-to-value requirements. Four primary pathways are defined, each with distinct governance requirements, development or procurement processes, and target cycle times.</w:t>
      </w:r>
    </w:p>
    <w:p>
      <w:pPr>
        <w:spacing w:after="120" w:before="120" w:line="276"/>
      </w:pPr>
      <w:r>
        <w:rPr>
          <w:rFonts w:ascii="Arial" w:cs="Arial" w:eastAsia="Arial" w:hAnsi="Arial"/>
          <w:b/>
          <w:bCs/>
          <w:color w:val="2D2D2D"/>
          <w:sz w:val="22"/>
          <w:szCs w:val="22"/>
        </w:rPr>
        <w:t xml:space="preserve">Fast-Track Pathway: </w:t>
      </w:r>
      <w:r>
        <w:rPr>
          <w:rFonts w:ascii="Arial" w:cs="Arial" w:eastAsia="Arial" w:hAnsi="Arial"/>
          <w:color w:val="2D2D2D"/>
          <w:sz w:val="22"/>
          <w:szCs w:val="22"/>
        </w:rPr>
        <w:t xml:space="preserve">Reserved for minimal-risk initiatives that match pre-approved patterns, use existing capabilities with minor configuration, or represent low-complexity vendor additions with established contract templates. The fast-track pathway bypasses extended governance review and proceeds directly from risk classification to implementation with automated compliance checks. Target end-to-end: 13.5–23 business days.</w:t>
      </w:r>
    </w:p>
    <w:p>
      <w:pPr>
        <w:spacing w:after="120" w:before="120" w:line="276"/>
      </w:pPr>
      <w:r>
        <w:rPr>
          <w:rFonts w:ascii="Arial" w:cs="Arial" w:eastAsia="Arial" w:hAnsi="Arial"/>
          <w:b/>
          <w:bCs/>
          <w:color w:val="2D2D2D"/>
          <w:sz w:val="22"/>
          <w:szCs w:val="22"/>
        </w:rPr>
        <w:t xml:space="preserve">Build Pathway: </w:t>
      </w:r>
      <w:r>
        <w:rPr>
          <w:rFonts w:ascii="Arial" w:cs="Arial" w:eastAsia="Arial" w:hAnsi="Arial"/>
          <w:color w:val="2D2D2D"/>
          <w:sz w:val="22"/>
          <w:szCs w:val="22"/>
        </w:rPr>
        <w:t xml:space="preserve">Triggered when the capability reuse assessment determines that no existing solution satisfies the requirement and internal development is the optimal approach. Engages the full Agentic SDLC architecture (Section 2) with SubAgent ecosystems, Context Envelope, DevSecOps AI pipeline, and compliance-driven development. The TPRM-to-Build feedback loop ensures that vendor evaluation standards symmetrically govern internal development.</w:t>
      </w:r>
    </w:p>
    <w:p>
      <w:pPr>
        <w:spacing w:after="120" w:before="120" w:line="276"/>
      </w:pPr>
      <w:r>
        <w:rPr>
          <w:rFonts w:ascii="Arial" w:cs="Arial" w:eastAsia="Arial" w:hAnsi="Arial"/>
          <w:b/>
          <w:bCs/>
          <w:color w:val="2D2D2D"/>
          <w:sz w:val="22"/>
          <w:szCs w:val="22"/>
        </w:rPr>
        <w:t xml:space="preserve">Buy Pathway: </w:t>
      </w:r>
      <w:r>
        <w:rPr>
          <w:rFonts w:ascii="Arial" w:cs="Arial" w:eastAsia="Arial" w:hAnsi="Arial"/>
          <w:color w:val="2D2D2D"/>
          <w:sz w:val="22"/>
          <w:szCs w:val="22"/>
        </w:rPr>
        <w:t xml:space="preserve">Triggered when the capability assessment determines that vendor-provided technology best satisfies the requirement. Engages the full TPRM lifecycle (Section 4) with multi-agent swarm evaluation, front-loaded evidence harvesting, and risk-tiered governance review. Includes contracting, controls implementation, and onboarding phases.</w:t>
      </w:r>
    </w:p>
    <w:p>
      <w:pPr>
        <w:spacing w:after="120" w:before="120" w:line="276"/>
      </w:pPr>
      <w:r>
        <w:rPr>
          <w:rFonts w:ascii="Arial" w:cs="Arial" w:eastAsia="Arial" w:hAnsi="Arial"/>
          <w:b/>
          <w:bCs/>
          <w:color w:val="2D2D2D"/>
          <w:sz w:val="22"/>
          <w:szCs w:val="22"/>
        </w:rPr>
        <w:t xml:space="preserve">Hybrid Pathway: </w:t>
      </w:r>
      <w:r>
        <w:rPr>
          <w:rFonts w:ascii="Arial" w:cs="Arial" w:eastAsia="Arial" w:hAnsi="Arial"/>
          <w:color w:val="2D2D2D"/>
          <w:sz w:val="22"/>
          <w:szCs w:val="22"/>
        </w:rPr>
        <w:t xml:space="preserve">Triggered when the optimal approach combines vendor-provided core capabilities with internally-developed integration, customization, or orchestration layers. Requires simultaneous governance of both the TPRM and SDLC workflows, with unified observability covering both vendor-provided and internally-built components.</w:t>
      </w:r>
    </w:p>
    <w:p>
      <w:r>
        <w:br w:type="page"/>
      </w:r>
    </w:p>
    <w:p>
      <w:pPr>
        <w:pStyle w:val="Heading1"/>
        <w:spacing w:after="200" w:before="360"/>
      </w:pPr>
      <w:r>
        <w:rPr>
          <w:rFonts w:ascii="Arial" w:cs="Arial" w:eastAsia="Arial" w:hAnsi="Arial"/>
          <w:b/>
          <w:bCs/>
          <w:color w:val="1B3A5C"/>
          <w:sz w:val="32"/>
          <w:szCs w:val="32"/>
        </w:rPr>
        <w:t xml:space="preserve">2.6 Production Operations and Monitoring Sub-Process</w:t>
      </w:r>
    </w:p>
    <w:p>
      <w:pPr>
        <w:spacing w:after="120" w:before="120" w:line="276"/>
      </w:pPr>
      <w:r>
        <w:rPr>
          <w:rFonts w:ascii="Arial" w:cs="Arial" w:eastAsia="Arial" w:hAnsi="Arial"/>
          <w:color w:val="2D2D2D"/>
          <w:sz w:val="22"/>
          <w:szCs w:val="22"/>
        </w:rPr>
        <w:t xml:space="preserve">Once an initiative enters production, the monitoring sub-process activates a continuous loop that reviews evidence collected for each assigned control. The BPMN flow includes three routing paths from the exclusive gateway, each with distinct sub-processes and outcomes.</w:t>
      </w:r>
    </w:p>
    <w:p>
      <w:pPr>
        <w:spacing w:after="120" w:before="120" w:line="276"/>
      </w:pPr>
      <w:r>
        <w:rPr>
          <w:rFonts w:ascii="Arial" w:cs="Arial" w:eastAsia="Arial" w:hAnsi="Arial"/>
          <w:b/>
          <w:bCs/>
          <w:color w:val="2D2D2D"/>
          <w:sz w:val="22"/>
          <w:szCs w:val="22"/>
        </w:rPr>
        <w:t xml:space="preserve">Continue Path: </w:t>
      </w:r>
      <w:r>
        <w:rPr>
          <w:rFonts w:ascii="Arial" w:cs="Arial" w:eastAsia="Arial" w:hAnsi="Arial"/>
          <w:color w:val="2D2D2D"/>
          <w:sz w:val="22"/>
          <w:szCs w:val="22"/>
        </w:rPr>
        <w:t xml:space="preserve">Routes to Continuous Improvement, then to a parallel gateway that manages both Control-Based Monitoring Cadence (timer-triggered based on risk tier: High = monthly, Limited = quarterly, Minimal = semi-annually) and Trigger Review on Demand (message-triggered by external events such as breach notifications, regulatory changes, or adverse media). The loop returns to Production Operation and Monitoring for the next cycle.</w:t>
      </w:r>
    </w:p>
    <w:p>
      <w:pPr>
        <w:spacing w:after="120" w:before="120" w:line="276"/>
      </w:pPr>
      <w:r>
        <w:rPr>
          <w:rFonts w:ascii="Arial" w:cs="Arial" w:eastAsia="Arial" w:hAnsi="Arial"/>
          <w:b/>
          <w:bCs/>
          <w:color w:val="2D2D2D"/>
          <w:sz w:val="22"/>
          <w:szCs w:val="22"/>
        </w:rPr>
        <w:t xml:space="preserve">Change Path: </w:t>
      </w:r>
      <w:r>
        <w:rPr>
          <w:rFonts w:ascii="Arial" w:cs="Arial" w:eastAsia="Arial" w:hAnsi="Arial"/>
          <w:color w:val="2D2D2D"/>
          <w:sz w:val="22"/>
          <w:szCs w:val="22"/>
        </w:rPr>
        <w:t xml:space="preserve">Routes to Change Management sub-process, which triggers a new governance review cycle for material changes. All modifications are assessed against the original risk classification and control requirements to determine whether the change alters the risk profile and requires re-classification.</w:t>
      </w:r>
    </w:p>
    <w:p>
      <w:pPr>
        <w:spacing w:after="120" w:before="120" w:line="276"/>
      </w:pPr>
      <w:r>
        <w:rPr>
          <w:rFonts w:ascii="Arial" w:cs="Arial" w:eastAsia="Arial" w:hAnsi="Arial"/>
          <w:b/>
          <w:bCs/>
          <w:color w:val="2D2D2D"/>
          <w:sz w:val="22"/>
          <w:szCs w:val="22"/>
        </w:rPr>
        <w:t xml:space="preserve">Retire Path: </w:t>
      </w:r>
      <w:r>
        <w:rPr>
          <w:rFonts w:ascii="Arial" w:cs="Arial" w:eastAsia="Arial" w:hAnsi="Arial"/>
          <w:color w:val="2D2D2D"/>
          <w:sz w:val="22"/>
          <w:szCs w:val="22"/>
        </w:rPr>
        <w:t xml:space="preserve">Routes to Decommission Plan sub-process, which manages knowledge capture (extracting and archiving all institutional knowledge, decision rationale, and lessons learned), data archival (archiving or securely destroying data per retention policies), dependency unwinding, and notification workflows before reaching the Retired end event.</w:t>
      </w:r>
    </w:p>
    <w:p>
      <w:pPr>
        <w:spacing w:after="120" w:before="120" w:line="276"/>
      </w:pPr>
      <w:r>
        <w:rPr>
          <w:rFonts w:ascii="Arial" w:cs="Arial" w:eastAsia="Arial" w:hAnsi="Arial"/>
          <w:color w:val="2D2D2D"/>
          <w:sz w:val="22"/>
          <w:szCs w:val="22"/>
        </w:rPr>
        <w:t xml:space="preserve">The monitoring sub-process includes two terminal end states accessible from the outer loop: Use Case Retired (graceful wind-down following the planned decommission process) and Use Case Terminated (immediate cessation due to compliance breach, security incident, or strategic decision requiring emergency shutdown).</w:t>
      </w:r>
    </w:p>
    <w:p>
      <w:pPr>
        <w:pStyle w:val="Heading1"/>
        <w:spacing w:after="200" w:before="360"/>
      </w:pPr>
      <w:r>
        <w:rPr>
          <w:rFonts w:ascii="Arial" w:cs="Arial" w:eastAsia="Arial" w:hAnsi="Arial"/>
          <w:b/>
          <w:bCs/>
          <w:color w:val="1B3A5C"/>
          <w:sz w:val="32"/>
          <w:szCs w:val="32"/>
        </w:rPr>
        <w:t xml:space="preserve">2.7 Governance RACI Matrix</w:t>
      </w:r>
    </w:p>
    <w:p>
      <w:pPr>
        <w:spacing w:after="120" w:before="120" w:line="276"/>
      </w:pPr>
      <w:r>
        <w:rPr>
          <w:rFonts w:ascii="Arial" w:cs="Arial" w:eastAsia="Arial" w:hAnsi="Arial"/>
          <w:color w:val="2D2D2D"/>
          <w:sz w:val="22"/>
          <w:szCs w:val="22"/>
        </w:rPr>
        <w:t xml:space="preserve">Accountability across the lifecycle is defined through a multi-disciplinary RACI structure that aligns each governance function with its primary responsibility, key deliverables, stakeholder coordination requirements, and BPMN lane assignment. The following matrix establishes clear ownership for every governance decision in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160"/>
        <w:gridCol w:w="1200"/>
        <w:gridCol w:w="1000"/>
      </w:tblGrid>
      <w:tr>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Function</w:t>
            </w:r>
          </w:p>
        </w:tc>
        <w:tc>
          <w:tcPr>
            <w:tcW w:type="dxa" w:w="2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Primary Responsibility</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Key Deliverables</w:t>
            </w:r>
          </w:p>
        </w:tc>
        <w:tc>
          <w:tcPr>
            <w:tcW w:type="dxa" w:w="21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Stakeholder Coordination</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BPMN Lane</w:t>
            </w:r>
          </w:p>
        </w:tc>
        <w:tc>
          <w:tcPr>
            <w:tcW w:type="dxa" w:w="10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Defense Line</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Legal</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Contractual liability management and regulatory alignment</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MSA, DPA, Right to Audit clauses, Step-in Rights, breach notification terms</w:t>
            </w:r>
          </w:p>
        </w:tc>
        <w:tc>
          <w:tcPr>
            <w:tcW w:type="dxa" w:w="2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Procurement, Compliance, Board of Directors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Contracting Lane</w:t>
            </w:r>
          </w:p>
        </w:tc>
        <w:tc>
          <w:tcPr>
            <w:tcW w:type="dxa" w:w="1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1st / 2nd</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Cybersecurity</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Technical security assurance and data integrity verification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Penetration test reviews, SOC 2 analysis, attack surface monitoring dashboards, Nth-party mapping</w:t>
            </w:r>
          </w:p>
        </w:tc>
        <w:tc>
          <w:tcPr>
            <w:tcW w:type="dxa" w:w="21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IT Leadership, Business Owners, Vendor Security Teams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Technical Assessment Lane</w:t>
            </w:r>
          </w:p>
        </w:tc>
        <w:tc>
          <w:tcPr>
            <w:tcW w:type="dxa" w:w="1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2nd</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AI Governance</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Model ethics, transparency, bias mitigation, and algorithmic risk management</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Model cards, bias testing reports, FS AI RMF control mapping, explainability assessments</w:t>
            </w:r>
          </w:p>
        </w:tc>
        <w:tc>
          <w:tcPr>
            <w:tcW w:type="dxa" w:w="2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Risk Management, Legal, Data Science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AI Review Lane</w:t>
            </w:r>
          </w:p>
        </w:tc>
        <w:tc>
          <w:tcPr>
            <w:tcW w:type="dxa" w:w="1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2nd</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Compliance</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Adherence to banking regulations and regulatory liaison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Regulatory filings, policy updates, DORA adherence reports, Interagency Guidance alignment</w:t>
            </w:r>
          </w:p>
        </w:tc>
        <w:tc>
          <w:tcPr>
            <w:tcW w:type="dxa" w:w="21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OCC, Federal Reserve, FDIC, Internal Audit</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Compliance Lane</w:t>
            </w:r>
          </w:p>
        </w:tc>
        <w:tc>
          <w:tcPr>
            <w:tcW w:type="dxa" w:w="1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2nd</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Internal Audit</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Independent verification of governance program efficacy</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Audit reports, remediation tracking logs, maturity assessments, program effectiveness reports</w:t>
            </w:r>
          </w:p>
        </w:tc>
        <w:tc>
          <w:tcPr>
            <w:tcW w:type="dxa" w:w="2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Board of Directors, C-Suite, External Auditors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Oversight Lane</w:t>
            </w:r>
          </w:p>
        </w:tc>
        <w:tc>
          <w:tcPr>
            <w:tcW w:type="dxa" w:w="1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3rd</w:t>
            </w:r>
          </w:p>
        </w:tc>
      </w:tr>
      <w:tr>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Service Provider</w:t>
            </w:r>
          </w:p>
        </w:tc>
        <w:tc>
          <w:tcPr>
            <w:tcW w:type="dxa" w:w="2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Orchestration of automated testing and agent swarm management</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Agent swarm audit trails, BPM workflows, evidence bundles, orchestration logs</w:t>
            </w:r>
          </w:p>
        </w:tc>
        <w:tc>
          <w:tcPr>
            <w:tcW w:type="dxa" w:w="21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Client Risk Teams, Vendor Management, Engineering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Automation Lane</w:t>
            </w:r>
          </w:p>
        </w:tc>
        <w:tc>
          <w:tcPr>
            <w:tcW w:type="dxa" w:w="10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1st</w:t>
            </w:r>
          </w:p>
        </w:tc>
      </w:tr>
      <w:tr>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Business Owner</w:t>
            </w:r>
          </w:p>
        </w:tc>
        <w:tc>
          <w:tcPr>
            <w:tcW w:type="dxa" w:w="2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Operational performance accountability and strategic need justification</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Business cases, SLA monitoring, ROI tracking, initiative sponsorship</w:t>
            </w:r>
          </w:p>
        </w:tc>
        <w:tc>
          <w:tcPr>
            <w:tcW w:type="dxa" w:w="21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Vendor Management, Procurement, Finance, PMO</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Business Lane</w:t>
            </w:r>
          </w:p>
        </w:tc>
        <w:tc>
          <w:tcPr>
            <w:tcW w:type="dxa" w:w="10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1st</w:t>
            </w:r>
          </w:p>
        </w:tc>
      </w:tr>
    </w:tbl>
    <w:p>
      <w:r>
        <w:br w:type="page"/>
      </w:r>
    </w:p>
    <w:p>
      <w:pPr>
        <w:pStyle w:val="Heading1"/>
        <w:spacing w:after="200" w:before="360"/>
      </w:pPr>
      <w:r>
        <w:rPr>
          <w:rFonts w:ascii="Arial" w:cs="Arial" w:eastAsia="Arial" w:hAnsi="Arial"/>
          <w:b/>
          <w:bCs/>
          <w:color w:val="1B3A5C"/>
          <w:sz w:val="32"/>
          <w:szCs w:val="32"/>
        </w:rPr>
        <w:t xml:space="preserve">2.8 Overall Lifecycle Summary with Timing by Risk Tier</w:t>
      </w:r>
    </w:p>
    <w:p>
      <w:pPr>
        <w:spacing w:after="120" w:before="120" w:line="276"/>
      </w:pPr>
      <w:r>
        <w:rPr>
          <w:rFonts w:ascii="Arial" w:cs="Arial" w:eastAsia="Arial" w:hAnsi="Arial"/>
          <w:color w:val="2D2D2D"/>
          <w:sz w:val="22"/>
          <w:szCs w:val="22"/>
        </w:rPr>
        <w:t xml:space="preserve">The following table provides the consolidated lifecycle summary with target cycle times broken out by risk tier, activity count per phase, and automation percentage. These targets reflect realistic best-practice expectations assuming a streamlined, well-governed process with automation applied where identified. The lifecycle integrates the AI Governance BPMN workflow with the TPRM framework into the unified 8-phase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1200"/>
        <w:gridCol w:w="1200"/>
        <w:gridCol w:w="900"/>
        <w:gridCol w:w="960"/>
        <w:gridCol w:w="900"/>
      </w:tblGrid>
      <w:tr>
        <w:tc>
          <w:tcPr>
            <w:tcW w:type="dxa" w:w="5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w:t>
            </w:r>
          </w:p>
        </w:tc>
        <w:tc>
          <w:tcPr>
            <w:tcW w:type="dxa" w:w="25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Phase</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Standard Risk</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High Risk</w:t>
            </w:r>
          </w:p>
        </w:tc>
        <w:tc>
          <w:tcPr>
            <w:tcW w:type="dxa" w:w="1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Minimal Risk</w:t>
            </w:r>
          </w:p>
        </w:tc>
        <w:tc>
          <w:tcPr>
            <w:tcW w:type="dxa" w:w="9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Activities</w:t>
            </w:r>
          </w:p>
        </w:tc>
        <w:tc>
          <w:tcPr>
            <w:tcW w:type="dxa" w:w="9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Automation %</w:t>
            </w:r>
          </w:p>
        </w:tc>
        <w:tc>
          <w:tcPr>
            <w:tcW w:type="dxa" w:w="9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Critical Path</w:t>
            </w:r>
          </w:p>
        </w:tc>
      </w:tr>
      <w:tr>
        <w:tc>
          <w:tcPr>
            <w:tcW w:type="dxa" w:w="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1</w:t>
            </w:r>
          </w:p>
        </w:tc>
        <w:tc>
          <w:tcPr>
            <w:tcW w:type="dxa" w:w="2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Initiation and Intake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0.5 days</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w:t>
            </w:r>
          </w:p>
        </w:tc>
        <w:tc>
          <w:tcPr>
            <w:tcW w:type="dxa" w:w="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75%</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2</w:t>
            </w:r>
          </w:p>
        </w:tc>
        <w:tc>
          <w:tcPr>
            <w:tcW w:type="dxa" w:w="2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Planning and Inherent Risk Scoping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days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5–7 days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7</w:t>
            </w:r>
          </w:p>
        </w:tc>
        <w:tc>
          <w:tcPr>
            <w:tcW w:type="dxa" w:w="9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60%</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3</w:t>
            </w:r>
          </w:p>
        </w:tc>
        <w:tc>
          <w:tcPr>
            <w:tcW w:type="dxa" w:w="2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Due Diligence and Swarm Evaluation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5–8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10–15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2–3 days</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8</w:t>
            </w:r>
          </w:p>
        </w:tc>
        <w:tc>
          <w:tcPr>
            <w:tcW w:type="dxa" w:w="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70%</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4</w:t>
            </w:r>
          </w:p>
        </w:tc>
        <w:tc>
          <w:tcPr>
            <w:tcW w:type="dxa" w:w="2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Governance Review and Approval</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days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5–10 days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w:t>
            </w:r>
          </w:p>
        </w:tc>
        <w:tc>
          <w:tcPr>
            <w:tcW w:type="dxa" w:w="9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40%</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5</w:t>
            </w:r>
          </w:p>
        </w:tc>
        <w:tc>
          <w:tcPr>
            <w:tcW w:type="dxa" w:w="2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Contracting and Controls Implementation</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5–7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7–10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days</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w:t>
            </w:r>
          </w:p>
        </w:tc>
        <w:tc>
          <w:tcPr>
            <w:tcW w:type="dxa" w:w="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50%</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6</w:t>
            </w:r>
          </w:p>
        </w:tc>
        <w:tc>
          <w:tcPr>
            <w:tcW w:type="dxa" w:w="2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SDLC Development and Testing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10–15 days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15–25 days</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5–10 days</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w:t>
            </w:r>
          </w:p>
        </w:tc>
        <w:tc>
          <w:tcPr>
            <w:tcW w:type="dxa" w:w="9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55%</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7</w:t>
            </w:r>
          </w:p>
        </w:tc>
        <w:tc>
          <w:tcPr>
            <w:tcW w:type="dxa" w:w="25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Deployment Decision and Go-Live</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2–3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days</w:t>
            </w:r>
          </w:p>
        </w:tc>
        <w:tc>
          <w:tcPr>
            <w:tcW w:type="dxa" w:w="1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 day</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w:t>
            </w:r>
          </w:p>
        </w:tc>
        <w:tc>
          <w:tcPr>
            <w:tcW w:type="dxa" w:w="9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60%</w:t>
            </w:r>
          </w:p>
        </w:tc>
        <w:tc>
          <w:tcPr>
            <w:tcW w:type="dxa" w:w="9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Yes</w:t>
            </w:r>
          </w:p>
        </w:tc>
      </w:tr>
      <w:tr>
        <w:tc>
          <w:tcPr>
            <w:tcW w:type="dxa" w:w="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8</w:t>
            </w:r>
          </w:p>
        </w:tc>
        <w:tc>
          <w:tcPr>
            <w:tcW w:type="dxa" w:w="25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Production Operations and Retirement</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Ongoing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Ongoing</w:t>
            </w:r>
          </w:p>
        </w:tc>
        <w:tc>
          <w:tcPr>
            <w:tcW w:type="dxa" w:w="1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Ongoing</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Ongoing</w:t>
            </w:r>
          </w:p>
        </w:tc>
        <w:tc>
          <w:tcPr>
            <w:tcW w:type="dxa" w:w="9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65%</w:t>
            </w:r>
          </w:p>
        </w:tc>
        <w:tc>
          <w:tcPr>
            <w:tcW w:type="dxa" w:w="9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No</w:t>
            </w:r>
          </w:p>
        </w:tc>
      </w:tr>
      <w:tr>
        <w:tc>
          <w:tcPr>
            <w:tcW w:type="dxa" w:w="5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
            </w:r>
          </w:p>
        </w:tc>
        <w:tc>
          <w:tcPr>
            <w:tcW w:type="dxa" w:w="25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TOTAL END-TO-END (Phases 1–7)</w:t>
            </w:r>
          </w:p>
        </w:tc>
        <w:tc>
          <w:tcPr>
            <w:tcW w:type="dxa" w:w="12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29–45 days</w:t>
            </w:r>
          </w:p>
        </w:tc>
        <w:tc>
          <w:tcPr>
            <w:tcW w:type="dxa" w:w="12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46–74 days</w:t>
            </w:r>
          </w:p>
        </w:tc>
        <w:tc>
          <w:tcPr>
            <w:tcW w:type="dxa" w:w="12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13.5–23 days</w:t>
            </w:r>
          </w:p>
        </w:tc>
        <w:tc>
          <w:tcPr>
            <w:tcW w:type="dxa" w:w="9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42</w:t>
            </w:r>
          </w:p>
        </w:tc>
        <w:tc>
          <w:tcPr>
            <w:tcW w:type="dxa" w:w="96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~60% avg</w:t>
            </w:r>
          </w:p>
        </w:tc>
        <w:tc>
          <w:tcPr>
            <w:tcW w:type="dxa" w:w="9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6"/>
              <w:bottom w:val="single" w:color="2E75B6" w:sz="3"/>
              <w:right w:val="single" w:color="2E75B6" w:sz="3"/>
            </w:tcBorders>
            <w:shd w:fill="D6E4F0" w:val="clear"/>
            <w:tcMar>
              <w:top w:type="dxa" w:w="120"/>
              <w:left w:type="dxa" w:w="200"/>
              <w:bottom w:type="dxa" w:w="120"/>
              <w:right w:type="dxa" w:w="200"/>
            </w:tcMar>
          </w:tcPr>
          <w:p>
            <w:pPr>
              <w:spacing w:after="40" w:before="40"/>
            </w:pPr>
            <w:r>
              <w:rPr>
                <w:rFonts w:ascii="Arial" w:cs="Arial" w:eastAsia="Arial" w:hAnsi="Arial"/>
                <w:b/>
                <w:bCs/>
                <w:color w:val="1B3A5C"/>
                <w:sz w:val="22"/>
                <w:szCs w:val="22"/>
              </w:rPr>
              <w:t xml:space="preserve">Cycle Time Reduction Impact: </w:t>
            </w:r>
            <w:r>
              <w:rPr>
                <w:rFonts w:ascii="Arial" w:cs="Arial" w:eastAsia="Arial" w:hAnsi="Arial"/>
                <w:color w:val="2D2D2D"/>
                <w:sz w:val="22"/>
                <w:szCs w:val="22"/>
              </w:rPr>
              <w:t xml:space="preserve">Industry average end-to-end onboarding is 90–120 days. This framework targets 29–45 days for standard risk, representing a 68–75% reduction through systematic application of BPMN workflow automation, front-loaded knowledge capture, AI agent swarm due diligence, risk-tiered governance routing, and in-sprint compliance with policy-as-code validation.</w:t>
            </w:r>
          </w:p>
        </w:tc>
      </w:tr>
    </w:tbl>
    <w:p>
      <w:r>
        <w:br w:type="page"/>
      </w:r>
    </w:p>
    <w:p>
      <w:pPr>
        <w:pStyle w:val="Heading1"/>
        <w:spacing w:after="200" w:before="360"/>
      </w:pPr>
      <w:r>
        <w:rPr>
          <w:rFonts w:ascii="Arial" w:cs="Arial" w:eastAsia="Arial" w:hAnsi="Arial"/>
          <w:b/>
          <w:bCs/>
          <w:color w:val="1B3A5C"/>
          <w:sz w:val="32"/>
          <w:szCs w:val="32"/>
        </w:rPr>
        <w:t xml:space="preserve">2.9 Critical Path and Bottleneck Analysis</w:t>
      </w:r>
    </w:p>
    <w:p>
      <w:pPr>
        <w:spacing w:after="120" w:before="120" w:line="276"/>
      </w:pPr>
      <w:r>
        <w:rPr>
          <w:rFonts w:ascii="Arial" w:cs="Arial" w:eastAsia="Arial" w:hAnsi="Arial"/>
          <w:color w:val="2D2D2D"/>
          <w:sz w:val="22"/>
          <w:szCs w:val="22"/>
        </w:rPr>
        <w:t xml:space="preserve">The critical path through the lifecycle runs through Phases 1 through 7 sequentially. Phase 8 operates as a continuous monitoring loop outside the critical path for initial deployment. The following analysis identifies the primary bottleneck points in the critical path and the mitigation strategies that drive the cycle time compression from industry baseline to best-practice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00"/>
        <w:gridCol w:w="1800"/>
        <w:gridCol w:w="1760"/>
      </w:tblGrid>
      <w:tr>
        <w:tc>
          <w:tcPr>
            <w:tcW w:type="dxa" w:w="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Bottleneck</w:t>
            </w:r>
          </w:p>
        </w:tc>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Location</w:t>
            </w:r>
          </w:p>
        </w:tc>
        <w:tc>
          <w:tcPr>
            <w:tcW w:type="dxa" w:w="27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Mitigation Strategy</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Before Mitigation</w:t>
            </w:r>
          </w:p>
        </w:tc>
        <w:tc>
          <w:tcPr>
            <w:tcW w:type="dxa" w:w="17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After Mitigation</w:t>
            </w:r>
          </w:p>
        </w:tc>
      </w:tr>
      <w:tr>
        <w:tc>
          <w:tcPr>
            <w:tcW w:type="dxa" w:w="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1</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Vendor Evidence Collection (Phase 3)</w:t>
            </w:r>
          </w:p>
        </w:tc>
        <w:tc>
          <w:tcPr>
            <w:tcW w:type="dxa" w:w="2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Trust Center integration via API auto-ingestion (Vanta, TrustCloud, Drata) and front-loaded evidence harvesting at intake. Pre-harvest eliminates Phase 3 dependency wait.</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5–7 days waiting</w:t>
            </w:r>
          </w:p>
        </w:tc>
        <w:tc>
          <w:tcPr>
            <w:tcW w:type="dxa" w:w="1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w:t>
            </w:r>
          </w:p>
        </w:tc>
      </w:tr>
      <w:tr>
        <w:tc>
          <w:tcPr>
            <w:tcW w:type="dxa" w:w="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2</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Governance Committee Scheduling (Phase 4)</w:t>
            </w:r>
          </w:p>
        </w:tc>
        <w:tc>
          <w:tcPr>
            <w:tcW w:type="dxa" w:w="27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Risk-tiered routing ensures only High Risk items require Advisory Board review. 70%+ of initiatives qualify for Fast Path or Committee review with shorter SLAs.</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10–15 days for all items</w:t>
            </w:r>
          </w:p>
        </w:tc>
        <w:tc>
          <w:tcPr>
            <w:tcW w:type="dxa" w:w="17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 (minimal) to 5–10 days (high)</w:t>
            </w:r>
          </w:p>
        </w:tc>
      </w:tr>
      <w:tr>
        <w:tc>
          <w:tcPr>
            <w:tcW w:type="dxa" w:w="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3</w:t>
            </w:r>
          </w:p>
        </w:tc>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Legal Contract Review (Phase 5)</w:t>
            </w:r>
          </w:p>
        </w:tc>
        <w:tc>
          <w:tcPr>
            <w:tcW w:type="dxa" w:w="27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AI-assisted clause matching against mandatory clause library, pre-approved template selection based on vendor type and risk tier, front-loaded DPA terms collected at intake.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5–7 days</w:t>
            </w:r>
          </w:p>
        </w:tc>
        <w:tc>
          <w:tcPr>
            <w:tcW w:type="dxa" w:w="17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1–2 days</w:t>
            </w:r>
          </w:p>
        </w:tc>
      </w:tr>
      <w:tr>
        <w:tc>
          <w:tcPr>
            <w:tcW w:type="dxa" w:w="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4</w:t>
            </w:r>
          </w:p>
        </w:tc>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SDLC Duration (Phase 6)</w:t>
            </w:r>
          </w:p>
        </w:tc>
        <w:tc>
          <w:tcPr>
            <w:tcW w:type="dxa" w:w="27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In-sprint compliance checkpoints eliminate end-of-cycle rework. Policy-as-code validation catches deviations before they compound. Agentic development accelerates implementation.</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Rework adds 3–5 days</w:t>
            </w:r>
          </w:p>
        </w:tc>
        <w:tc>
          <w:tcPr>
            <w:tcW w:type="dxa" w:w="17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Zero rework days</w:t>
            </w:r>
          </w:p>
        </w:tc>
      </w:tr>
    </w:tbl>
    <w:p>
      <w:pPr>
        <w:spacing w:after="80" w:before="80"/>
      </w:pPr>
    </w:p>
    <w:p>
      <w:pPr>
        <w:pStyle w:val="Heading1"/>
        <w:spacing w:after="200" w:before="360"/>
      </w:pPr>
      <w:r>
        <w:rPr>
          <w:rFonts w:ascii="Arial" w:cs="Arial" w:eastAsia="Arial" w:hAnsi="Arial"/>
          <w:b/>
          <w:bCs/>
          <w:color w:val="1B3A5C"/>
          <w:sz w:val="32"/>
          <w:szCs w:val="32"/>
        </w:rPr>
        <w:t xml:space="preserve">2.10 Cycle Time Compression Waterfall</w:t>
      </w:r>
    </w:p>
    <w:p>
      <w:pPr>
        <w:spacing w:after="120" w:before="120" w:line="276"/>
      </w:pPr>
      <w:r>
        <w:rPr>
          <w:rFonts w:ascii="Arial" w:cs="Arial" w:eastAsia="Arial" w:hAnsi="Arial"/>
          <w:color w:val="2D2D2D"/>
          <w:sz w:val="22"/>
          <w:szCs w:val="22"/>
        </w:rPr>
        <w:t xml:space="preserve">The following waterfall demonstrates the progressive compression of end-to-end lifecycle cycle times as each optimization layer is applied. Each layer builds on the previous, and the cumulative effect transforms the lifecycle from the industry average to the best-practice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360"/>
        <w:gridCol w:w="1300"/>
        <w:gridCol w:w="1300"/>
      </w:tblGrid>
      <w:tr>
        <w:tc>
          <w:tcPr>
            <w:tcW w:type="dxa" w:w="26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Optimization Layer</w:t>
            </w:r>
          </w:p>
        </w:tc>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Before (Days)</w:t>
            </w:r>
          </w:p>
        </w:tc>
        <w:tc>
          <w:tcPr>
            <w:tcW w:type="dxa" w:w="14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After (Days)</w:t>
            </w:r>
          </w:p>
        </w:tc>
        <w:tc>
          <w:tcPr>
            <w:tcW w:type="dxa" w:w="13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Reduction</w:t>
            </w:r>
          </w:p>
        </w:tc>
        <w:tc>
          <w:tcPr>
            <w:tcW w:type="dxa" w:w="13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Cumulative</w:t>
            </w:r>
          </w:p>
        </w:tc>
        <w:tc>
          <w:tcPr>
            <w:tcW w:type="dxa" w:w="13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 of Total</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Baseline (Industry Average)</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90–120</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90–120</w:t>
            </w:r>
          </w:p>
        </w:tc>
        <w:tc>
          <w:tcPr>
            <w:tcW w:type="dxa" w:w="1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90–120 days</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 BPMN Workflow Automation</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90–120</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65–85</w:t>
            </w:r>
          </w:p>
        </w:tc>
        <w:tc>
          <w:tcPr>
            <w:tcW w:type="dxa" w:w="13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25–35 days</w:t>
            </w:r>
          </w:p>
        </w:tc>
        <w:tc>
          <w:tcPr>
            <w:tcW w:type="dxa" w:w="13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65–85 days</w:t>
            </w:r>
          </w:p>
        </w:tc>
        <w:tc>
          <w:tcPr>
            <w:tcW w:type="dxa" w:w="13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41–47%</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 Front-Loaded Knowledge Capture</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65–85</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50–65</w:t>
            </w:r>
          </w:p>
        </w:tc>
        <w:tc>
          <w:tcPr>
            <w:tcW w:type="dxa" w:w="1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15–20 days</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50–65 days</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24–27%</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 AI Agent Swarm Due Diligence</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50–65</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40–55</w:t>
            </w:r>
          </w:p>
        </w:tc>
        <w:tc>
          <w:tcPr>
            <w:tcW w:type="dxa" w:w="13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8–12 days</w:t>
            </w:r>
          </w:p>
        </w:tc>
        <w:tc>
          <w:tcPr>
            <w:tcW w:type="dxa" w:w="13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40–55 days</w:t>
            </w:r>
          </w:p>
        </w:tc>
        <w:tc>
          <w:tcPr>
            <w:tcW w:type="dxa" w:w="13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13–16%</w:t>
            </w:r>
          </w:p>
        </w:tc>
      </w:tr>
      <w:tr>
        <w:tc>
          <w:tcPr>
            <w:tcW w:type="dxa" w:w="26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 Risk-Tiered Governance Routing</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40–55</w:t>
            </w:r>
          </w:p>
        </w:tc>
        <w:tc>
          <w:tcPr>
            <w:tcW w:type="dxa" w:w="14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35–50</w:t>
            </w:r>
          </w:p>
        </w:tc>
        <w:tc>
          <w:tcPr>
            <w:tcW w:type="dxa" w:w="13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days</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35–50 days</w:t>
            </w:r>
          </w:p>
        </w:tc>
        <w:tc>
          <w:tcPr>
            <w:tcW w:type="dxa" w:w="13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5–7%</w:t>
            </w:r>
          </w:p>
        </w:tc>
      </w:tr>
      <w:tr>
        <w:tc>
          <w:tcPr>
            <w:tcW w:type="dxa" w:w="26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 In-Sprint Compliance and Policy-as-Code</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35–50</w:t>
            </w:r>
          </w:p>
        </w:tc>
        <w:tc>
          <w:tcPr>
            <w:tcW w:type="dxa" w:w="14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29–45</w:t>
            </w:r>
          </w:p>
        </w:tc>
        <w:tc>
          <w:tcPr>
            <w:tcW w:type="dxa" w:w="13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3–5 days (rework)</w:t>
            </w:r>
          </w:p>
        </w:tc>
        <w:tc>
          <w:tcPr>
            <w:tcW w:type="dxa" w:w="13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29–45 days</w:t>
            </w:r>
          </w:p>
        </w:tc>
        <w:tc>
          <w:tcPr>
            <w:tcW w:type="dxa" w:w="13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5–7%</w:t>
            </w:r>
          </w:p>
        </w:tc>
      </w:tr>
      <w:tr>
        <w:tc>
          <w:tcPr>
            <w:tcW w:type="dxa" w:w="26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TOTAL OPTIMIZED</w:t>
            </w:r>
          </w:p>
        </w:tc>
        <w:tc>
          <w:tcPr>
            <w:tcW w:type="dxa" w:w="14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90–120</w:t>
            </w:r>
          </w:p>
        </w:tc>
        <w:tc>
          <w:tcPr>
            <w:tcW w:type="dxa" w:w="14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29–45</w:t>
            </w:r>
          </w:p>
        </w:tc>
        <w:tc>
          <w:tcPr>
            <w:tcW w:type="dxa" w:w="136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61–75 days</w:t>
            </w:r>
          </w:p>
        </w:tc>
        <w:tc>
          <w:tcPr>
            <w:tcW w:type="dxa" w:w="13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68–75% reduction</w:t>
            </w:r>
          </w:p>
        </w:tc>
        <w:tc>
          <w:tcPr>
            <w:tcW w:type="dxa" w:w="1300"/>
            <w:tcBorders>
              <w:top w:val="single" w:color="B4C6D9" w:sz="1"/>
              <w:left w:val="single" w:color="B4C6D9" w:sz="1"/>
              <w:bottom w:val="single" w:color="B4C6D9" w:sz="1"/>
              <w:right w:val="single" w:color="B4C6D9" w:sz="1"/>
            </w:tcBorders>
            <w:shd w:fill="D6E4F0" w:val="clear"/>
            <w:tcMar>
              <w:top w:type="dxa" w:w="60"/>
              <w:left w:type="dxa" w:w="100"/>
              <w:bottom w:type="dxa" w:w="60"/>
              <w:right w:type="dxa" w:w="100"/>
            </w:tcMar>
          </w:tcPr>
          <w:p>
            <w:pPr>
              <w:spacing w:after="40" w:before="40"/>
            </w:pPr>
            <w:r>
              <w:rPr>
                <w:rFonts w:ascii="Arial" w:cs="Arial" w:eastAsia="Arial" w:hAnsi="Arial"/>
                <w:b/>
                <w:bCs/>
                <w:color w:val="1B3A5C"/>
                <w:sz w:val="18"/>
                <w:szCs w:val="18"/>
              </w:rPr>
              <w:t xml:space="preserve">100%</w:t>
            </w:r>
          </w:p>
        </w:tc>
      </w:tr>
    </w:tbl>
    <w:p>
      <w:r>
        <w:br w:type="page"/>
      </w:r>
    </w:p>
    <w:p>
      <w:pPr>
        <w:pStyle w:val="Heading1"/>
        <w:spacing w:after="200" w:before="360"/>
      </w:pPr>
      <w:r>
        <w:rPr>
          <w:rFonts w:ascii="Arial" w:cs="Arial" w:eastAsia="Arial" w:hAnsi="Arial"/>
          <w:b/>
          <w:bCs/>
          <w:color w:val="1B3A5C"/>
          <w:sz w:val="32"/>
          <w:szCs w:val="32"/>
        </w:rPr>
        <w:t xml:space="preserve">2.11 Service Level Agreement Framework</w:t>
      </w:r>
    </w:p>
    <w:p>
      <w:pPr>
        <w:spacing w:after="120" w:before="120" w:line="276"/>
      </w:pPr>
      <w:r>
        <w:rPr>
          <w:rFonts w:ascii="Arial" w:cs="Arial" w:eastAsia="Arial" w:hAnsi="Arial"/>
          <w:color w:val="2D2D2D"/>
          <w:sz w:val="22"/>
          <w:szCs w:val="22"/>
        </w:rPr>
        <w:t xml:space="preserve">The following SLA framework establishes measurable targets at the functional, phase, and overall lifecycle levels. These targets are continuously monitored through the BPM engine and reported through automated dashboards. SLA breaches trigger automated root cause analysis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SLA Level</w:t>
            </w:r>
          </w:p>
        </w:tc>
        <w:tc>
          <w:tcPr>
            <w:tcW w:type="dxa" w:w="2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Metric</w:t>
            </w:r>
          </w:p>
        </w:tc>
        <w:tc>
          <w:tcPr>
            <w:tcW w:type="dxa" w:w="180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Target</w:t>
            </w:r>
          </w:p>
        </w:tc>
        <w:tc>
          <w:tcPr>
            <w:tcW w:type="dxa" w:w="2560"/>
            <w:tcBorders>
              <w:top w:val="single" w:color="B4C6D9" w:sz="1"/>
              <w:left w:val="single" w:color="B4C6D9" w:sz="1"/>
              <w:bottom w:val="single" w:color="B4C6D9" w:sz="1"/>
              <w:right w:val="single" w:color="B4C6D9" w:sz="1"/>
            </w:tcBorders>
            <w:shd w:fill="1B3A5C"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Measurement Method</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Overall Lifecycle (Standard Risk)</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End-to-end from intake to go-live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29–45 business days</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Calendar days from intake submission to production cutover</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Overall Lifecycle (High Risk)</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End-to-end from intake to go-live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46–74 business days</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Calendar days from intake submission to production cutover</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Overall Lifecycle (Minimal Risk)</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End-to-end from intake to go-live</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13.5–23 business days</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Calendar days from intake submission to production cutover</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Phase Gate Compliance</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 of phases completing within SLA</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&gt; 90%</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Monthly dashboard reporting per phase with variance analysis</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Automation Utilization</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 of tasks using automation (Full or Partial)</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&gt; 60%</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Automated task count / total task count per initiative</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First-Pass Approval Rate</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 approved without rework at governance gate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&gt; 80%</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Approved on first submission / total submissions per period</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Evidence Collection Timeliness</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 of evidence collected by end of Phase 2</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&gt; 70%</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Evidence items received by Phase 2 close / total required items</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Vendor Reassessment Compliance</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 reassessed within required cadence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100%</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Completed reassessments / due reassessments per period</w:t>
            </w:r>
          </w:p>
        </w:tc>
      </w:tr>
      <w:tr>
        <w:tc>
          <w:tcPr>
            <w:tcW w:type="dxa" w:w="22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Agent Swarm Processing Time</w:t>
            </w:r>
          </w:p>
        </w:tc>
        <w:tc>
          <w:tcPr>
            <w:tcW w:type="dxa" w:w="2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SOC 2 report analysis per report</w:t>
            </w:r>
          </w:p>
        </w:tc>
        <w:tc>
          <w:tcPr>
            <w:tcW w:type="dxa" w:w="180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&lt; 2 minutes</w:t>
            </w:r>
          </w:p>
        </w:tc>
        <w:tc>
          <w:tcPr>
            <w:tcW w:type="dxa" w:w="2560"/>
            <w:tcBorders>
              <w:top w:val="single" w:color="B4C6D9" w:sz="1"/>
              <w:left w:val="single" w:color="B4C6D9" w:sz="1"/>
              <w:bottom w:val="single" w:color="B4C6D9" w:sz="1"/>
              <w:right w:val="single" w:color="B4C6D9" w:sz="1"/>
            </w:tcBorders>
            <w:shd w:fill="F2F7FB" w:val="clear"/>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Elapsed time from report ingestion to findings output</w:t>
            </w:r>
          </w:p>
        </w:tc>
      </w:tr>
      <w:tr>
        <w:tc>
          <w:tcPr>
            <w:tcW w:type="dxa" w:w="22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b/>
                <w:bCs/>
                <w:color w:val="2D2D2D"/>
                <w:sz w:val="18"/>
                <w:szCs w:val="18"/>
              </w:rPr>
              <w:t xml:space="preserve">Knowledge Base Pre-Population</w:t>
            </w:r>
          </w:p>
        </w:tc>
        <w:tc>
          <w:tcPr>
            <w:tcW w:type="dxa" w:w="2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 of fields auto-populated at intake</w:t>
            </w:r>
          </w:p>
        </w:tc>
        <w:tc>
          <w:tcPr>
            <w:tcW w:type="dxa" w:w="180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&gt; 65%</w:t>
            </w:r>
          </w:p>
        </w:tc>
        <w:tc>
          <w:tcPr>
            <w:tcW w:type="dxa" w:w="2560"/>
            <w:tcBorders>
              <w:top w:val="single" w:color="B4C6D9" w:sz="1"/>
              <w:left w:val="single" w:color="B4C6D9" w:sz="1"/>
              <w:bottom w:val="single" w:color="B4C6D9" w:sz="1"/>
              <w:right w:val="single" w:color="B4C6D9" w:sz="1"/>
            </w:tcBorders>
            <w:tcMar>
              <w:top w:type="dxa" w:w="60"/>
              <w:left w:type="dxa" w:w="100"/>
              <w:bottom w:type="dxa" w:w="60"/>
              <w:right w:type="dxa" w:w="100"/>
            </w:tcMar>
            <w:vAlign w:val="top"/>
          </w:tcPr>
          <w:p>
            <w:pPr>
              <w:spacing w:after="30" w:before="30"/>
            </w:pPr>
            <w:r>
              <w:rPr>
                <w:rFonts w:ascii="Arial" w:cs="Arial" w:eastAsia="Arial" w:hAnsi="Arial"/>
                <w:color w:val="2D2D2D"/>
                <w:sz w:val="18"/>
                <w:szCs w:val="18"/>
              </w:rPr>
              <w:t xml:space="preserve">Auto-populated fields / total required fields at intake</w:t>
            </w:r>
          </w:p>
        </w:tc>
      </w:tr>
    </w:tbl>
    <w:p>
      <w:pPr>
        <w:spacing w:after="80" w:before="80"/>
      </w:pPr>
    </w:p>
    <w:p>
      <w:pPr>
        <w:pStyle w:val="Heading1"/>
        <w:spacing w:after="200" w:before="360"/>
      </w:pPr>
      <w:r>
        <w:rPr>
          <w:rFonts w:ascii="Arial" w:cs="Arial" w:eastAsia="Arial" w:hAnsi="Arial"/>
          <w:b/>
          <w:bCs/>
          <w:color w:val="1B3A5C"/>
          <w:sz w:val="32"/>
          <w:szCs w:val="32"/>
        </w:rPr>
        <w:t xml:space="preserve">2.12 Continuous Improvement and Process Optimization</w:t>
      </w:r>
    </w:p>
    <w:p>
      <w:pPr>
        <w:spacing w:after="120" w:before="120" w:line="276"/>
      </w:pPr>
      <w:r>
        <w:rPr>
          <w:rFonts w:ascii="Arial" w:cs="Arial" w:eastAsia="Arial" w:hAnsi="Arial"/>
          <w:color w:val="2D2D2D"/>
          <w:sz w:val="22"/>
          <w:szCs w:val="22"/>
        </w:rPr>
        <w:t xml:space="preserve">The integrated workflow is designed as a self-improving system. Process mining and analytics provide ongoing visibility into actual vs. target cycle times, enabling data-driven process optimization. Four key improvement mechanisms operate continuously.</w:t>
      </w:r>
    </w:p>
    <w:p>
      <w:pPr>
        <w:pStyle w:val="Heading3"/>
        <w:spacing w:after="120" w:before="200"/>
      </w:pPr>
      <w:r>
        <w:rPr>
          <w:rFonts w:ascii="Arial" w:cs="Arial" w:eastAsia="Arial" w:hAnsi="Arial"/>
          <w:b/>
          <w:bCs/>
          <w:color w:val="4472C4"/>
          <w:sz w:val="22"/>
          <w:szCs w:val="22"/>
        </w:rPr>
        <w:t xml:space="preserve">Process Mining</w:t>
      </w:r>
    </w:p>
    <w:p>
      <w:pPr>
        <w:spacing w:after="120" w:before="120" w:line="276"/>
      </w:pPr>
      <w:r>
        <w:rPr>
          <w:rFonts w:ascii="Arial" w:cs="Arial" w:eastAsia="Arial" w:hAnsi="Arial"/>
          <w:color w:val="2D2D2D"/>
          <w:sz w:val="22"/>
          <w:szCs w:val="22"/>
        </w:rPr>
        <w:t xml:space="preserve">Automated analysis of BPM execution logs identifies actual bottlenecks, variant paths, and cycle time distributions across all phases. Process mining tools ingest event logs from the BPMN engine (Camunda, jBPM) and reconstruct the actual process flow, comparing it against the designed workflow to identify deviations, loops, and inefficiencies. Variant analysis highlights which initiative types follow non-standard paths and why, enabling targeted process redesign.</w:t>
      </w:r>
    </w:p>
    <w:p>
      <w:pPr>
        <w:pStyle w:val="Heading3"/>
        <w:spacing w:after="120" w:before="200"/>
      </w:pPr>
      <w:r>
        <w:rPr>
          <w:rFonts w:ascii="Arial" w:cs="Arial" w:eastAsia="Arial" w:hAnsi="Arial"/>
          <w:b/>
          <w:bCs/>
          <w:color w:val="4472C4"/>
          <w:sz w:val="22"/>
          <w:szCs w:val="22"/>
        </w:rPr>
        <w:t xml:space="preserve">SLA Breach Root Cause Analysis</w:t>
      </w:r>
    </w:p>
    <w:p>
      <w:pPr>
        <w:spacing w:after="120" w:before="120" w:line="276"/>
      </w:pPr>
      <w:r>
        <w:rPr>
          <w:rFonts w:ascii="Arial" w:cs="Arial" w:eastAsia="Arial" w:hAnsi="Arial"/>
          <w:color w:val="2D2D2D"/>
          <w:sz w:val="22"/>
          <w:szCs w:val="22"/>
        </w:rPr>
        <w:t xml:space="preserve">When phase SLAs are breached, the system automatically triggers root cause analysis workflows that identify whether the breach was caused by missing information (triggering upstream harvesting improvements), capacity constraints (triggering resource allocation adjustments), process deficiencies (triggering workflow redesign), or external dependencies (triggering vendor management escalation). Root cause categories are tracked over time to identify systemic patterns requiring structural intervention.</w:t>
      </w:r>
    </w:p>
    <w:p>
      <w:pPr>
        <w:pStyle w:val="Heading3"/>
        <w:spacing w:after="120" w:before="200"/>
      </w:pPr>
      <w:r>
        <w:rPr>
          <w:rFonts w:ascii="Arial" w:cs="Arial" w:eastAsia="Arial" w:hAnsi="Arial"/>
          <w:b/>
          <w:bCs/>
          <w:color w:val="4472C4"/>
          <w:sz w:val="22"/>
          <w:szCs w:val="22"/>
        </w:rPr>
        <w:t xml:space="preserve">Knowledge Base Enrichment</w:t>
      </w:r>
    </w:p>
    <w:p>
      <w:pPr>
        <w:spacing w:after="120" w:before="120" w:line="276"/>
      </w:pPr>
      <w:r>
        <w:rPr>
          <w:rFonts w:ascii="Arial" w:cs="Arial" w:eastAsia="Arial" w:hAnsi="Arial"/>
          <w:color w:val="2D2D2D"/>
          <w:sz w:val="22"/>
          <w:szCs w:val="22"/>
        </w:rPr>
        <w:t xml:space="preserve">Each completed initiative enriches the deterministic knowledge base, improving pre-population accuracy, risk scoring precision, and agent swarm effectiveness for subsequent initiatives. The cumulative knowledge effect creates a virtuous cycle where the framework becomes progressively faster and more accurate as institutional experience accumulates. Similar vendor profiles, technology patterns, and risk configurations benefit from prior evidence patterns and established benchmarks.</w:t>
      </w:r>
    </w:p>
    <w:p>
      <w:pPr>
        <w:pStyle w:val="Heading3"/>
        <w:spacing w:after="120" w:before="200"/>
      </w:pPr>
      <w:r>
        <w:rPr>
          <w:rFonts w:ascii="Arial" w:cs="Arial" w:eastAsia="Arial" w:hAnsi="Arial"/>
          <w:b/>
          <w:bCs/>
          <w:color w:val="4472C4"/>
          <w:sz w:val="22"/>
          <w:szCs w:val="22"/>
        </w:rPr>
        <w:t xml:space="preserve">Benchmark Recalibration</w:t>
      </w:r>
    </w:p>
    <w:p>
      <w:pPr>
        <w:spacing w:after="120" w:before="120" w:line="276"/>
      </w:pPr>
      <w:r>
        <w:rPr>
          <w:rFonts w:ascii="Arial" w:cs="Arial" w:eastAsia="Arial" w:hAnsi="Arial"/>
          <w:color w:val="2D2D2D"/>
          <w:sz w:val="22"/>
          <w:szCs w:val="22"/>
        </w:rPr>
        <w:t xml:space="preserve">Quarterly review of actual cycle times against targets enables automated adjustment of SLA expectations based on 90th percentile historical performance. As automation matures and the knowledge base deepens, SLA targets are progressively tightened to reflect achieved performance levels. The recalibration mechanism prevents target drift and ensures the framework continuously raises the bar on operational excellence.</w:t>
      </w:r>
    </w:p>
    <w:p>
      <w:pPr>
        <w:spacing w:after="80" w:before="80"/>
      </w:pPr>
    </w:p>
    <w:p>
      <w:pPr>
        <w:pBdr>
          <w:bottom w:val="single" w:color="2E75B6" w:sz="4" w:space="8"/>
        </w:pBdr>
        <w:spacing w:after="200" w:before="400"/>
        <w:jc w:val="center"/>
      </w:pPr>
      <w:r>
        <w:rPr>
          <w:rFonts w:ascii="Arial" w:cs="Arial" w:eastAsia="Arial" w:hAnsi="Arial"/>
          <w:b/>
          <w:bCs/>
          <w:color w:val="1B3A5C"/>
          <w:sz w:val="24"/>
          <w:szCs w:val="24"/>
        </w:rPr>
        <w:t xml:space="preserve">End of Section 1: Strategic Foundation &amp; End-to-End Lifecycle</w:t>
      </w:r>
    </w:p>
    <w:p>
      <w:pPr>
        <w:spacing w:after="100" w:before="100"/>
        <w:jc w:val="center"/>
      </w:pPr>
      <w:r>
        <w:rPr>
          <w:rFonts w:ascii="Arial" w:cs="Arial" w:eastAsia="Arial" w:hAnsi="Arial"/>
          <w:i/>
          <w:iCs/>
          <w:color w:val="666666"/>
          <w:sz w:val="20"/>
          <w:szCs w:val="20"/>
        </w:rPr>
        <w:t xml:space="preserve">Section 2: Agentic SDLC Architecture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666666"/>
        <w:sz w:val="16"/>
        <w:szCs w:val="16"/>
      </w:rPr>
      <w:t xml:space="preserve">CONFIDENTIAL  |  Version 4.0  |  March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Enterprise Software Governance Playbook</w:t>
    </w:r>
    <w:r>
      <w:rPr>
        <w:rFonts w:ascii="Arial" w:cs="Arial" w:eastAsia="Arial" w:hAnsi="Arial"/>
        <w:color w:val="666666"/>
        <w:sz w:val="16"/>
        <w:szCs w:val="16"/>
      </w:rPr>
      <w:t xml:space="preserve">  |  Section 1: Strategic Foundation &amp; End-to-End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2026-03-02T20:00:36.701Z</dcterms:created>
  <dcterms:modified xsi:type="dcterms:W3CDTF">2026-03-02T20:00:36.701Z</dcterms:modified>
</cp:coreProperties>
</file>

<file path=docProps/custom.xml><?xml version="1.0" encoding="utf-8"?>
<Properties xmlns="http://schemas.openxmlformats.org/officeDocument/2006/custom-properties" xmlns:vt="http://schemas.openxmlformats.org/officeDocument/2006/docPropsVTypes"/>
</file>