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3A5C"/>
          <w:sz w:val="56"/>
          <w:szCs w:val="56"/>
        </w:rPr>
        <w:t xml:space="preserve">Enterprise Software Governance</w:t>
      </w:r>
    </w:p>
    <w:p>
      <w:pPr>
        <w:spacing w:after="400"/>
        <w:jc w:val="center"/>
      </w:pPr>
      <w:r>
        <w:rPr>
          <w:rFonts w:ascii="Arial" w:cs="Arial" w:eastAsia="Arial" w:hAnsi="Arial"/>
          <w:color w:val="2C5F8A"/>
          <w:sz w:val="36"/>
          <w:szCs w:val="36"/>
        </w:rPr>
        <w:t xml:space="preserve">Intake-to-Deployment Framework</w:t>
      </w:r>
    </w:p>
    <w:p>
      <w:pPr>
        <w:spacing w:after="200"/>
        <w:jc w:val="center"/>
      </w:pPr>
      <w:r>
        <w:rPr>
          <w:rFonts w:ascii="Arial" w:cs="Arial" w:eastAsia="Arial" w:hAnsi="Arial"/>
          <w:color w:val="0D7377"/>
          <w:sz w:val="28"/>
          <w:szCs w:val="28"/>
        </w:rPr>
        <w:t xml:space="preserve">BPMN-Governed, DMN-Driven, Agent-Ready</w:t>
      </w:r>
    </w:p>
    <w:p>
      <w:pPr>
        <w:spacing w:after="100"/>
        <w:jc w:val="center"/>
      </w:pPr>
      <w:r>
        <w:rPr>
          <w:rFonts w:ascii="Arial" w:cs="Arial" w:eastAsia="Arial" w:hAnsi="Arial"/>
          <w:i/>
          <w:iCs/>
          <w:color w:val="2D2D2D"/>
          <w:sz w:val="22"/>
          <w:szCs w:val="22"/>
        </w:rPr>
        <w:t xml:space="preserve">Role-Based Reference Architecture for Financial Services Institutions</w:t>
      </w:r>
    </w:p>
    <w:p>
      <w:pPr>
        <w:pBdr>
          <w:bottom w:val="single" w:color="1B3A5C" w:sz="6" w:space="1"/>
        </w:pBdr>
        <w:spacing w:after="600"/>
        <w:jc w:val="center"/>
      </w:pPr>
    </w:p>
    <w:p>
      <w:pPr>
        <w:spacing w:after="60"/>
        <w:jc w:val="center"/>
      </w:pPr>
      <w:r>
        <w:rPr>
          <w:rFonts w:ascii="Arial" w:cs="Arial" w:eastAsia="Arial" w:hAnsi="Arial"/>
          <w:b/>
          <w:bCs/>
          <w:color w:val="1B3A5C"/>
          <w:sz w:val="20"/>
          <w:szCs w:val="20"/>
        </w:rPr>
        <w:t xml:space="preserve">Regulatory Alignment</w:t>
      </w:r>
    </w:p>
    <w:p>
      <w:pPr>
        <w:spacing w:after="40"/>
        <w:jc w:val="center"/>
      </w:pPr>
      <w:r>
        <w:rPr>
          <w:rFonts w:ascii="Arial" w:cs="Arial" w:eastAsia="Arial" w:hAnsi="Arial"/>
          <w:i/>
          <w:iCs/>
          <w:color w:val="2D2D2D"/>
          <w:sz w:val="18"/>
          <w:szCs w:val="18"/>
        </w:rPr>
        <w:t xml:space="preserve">OCC Bulletin 2023-17  ·  SR 11-7 MRM  ·  NIST AI RMF 1.0  ·  ISO/IEC 27001:2022</w:t>
      </w:r>
    </w:p>
    <w:p>
      <w:pPr>
        <w:spacing w:after="40"/>
        <w:jc w:val="center"/>
      </w:pPr>
      <w:r>
        <w:rPr>
          <w:rFonts w:ascii="Arial" w:cs="Arial" w:eastAsia="Arial" w:hAnsi="Arial"/>
          <w:i/>
          <w:iCs/>
          <w:color w:val="2D2D2D"/>
          <w:sz w:val="18"/>
          <w:szCs w:val="18"/>
        </w:rPr>
        <w:t xml:space="preserve">BCBS d577  ·  ISO/IEC 19770 ITAM  ·  FINRA Rules 3110 / 4511  ·  SEC Cybersecurity Disclosure Rule</w:t>
      </w:r>
    </w:p>
    <w:p>
      <w:pPr>
        <w:spacing w:after="40"/>
        <w:jc w:val="center"/>
      </w:pPr>
      <w:r>
        <w:rPr>
          <w:rFonts w:ascii="Arial" w:cs="Arial" w:eastAsia="Arial" w:hAnsi="Arial"/>
          <w:i/>
          <w:iCs/>
          <w:color w:val="2D2D2D"/>
          <w:sz w:val="18"/>
          <w:szCs w:val="18"/>
        </w:rPr>
        <w:t xml:space="preserve">NIST SP 1800-5  ·  GLB Act  ·  GDPR / CCPA  ·  EU AI Act</w:t>
      </w:r>
    </w:p>
    <w:p>
      <w:pPr>
        <w:spacing w:before="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Property</w:t>
            </w:r>
          </w:p>
        </w:tc>
        <w:tc>
          <w:tcPr>
            <w:tcW w:type="dxa" w:w="468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Classification</w:t>
            </w:r>
            <w:r>
              <w:rPr>
                <w:rFonts w:ascii="Arial" w:cs="Arial" w:eastAsia="Arial" w:hAnsi="Arial"/>
                <w:color w:val="2D2D2D"/>
                <w:sz w:val="20"/>
                <w:szCs w:val="20"/>
              </w:rPr>
              <w:t xml:space="preserve"/>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Internal / Confidential</w:t>
            </w:r>
          </w:p>
        </w:tc>
      </w:tr>
      <w:tr>
        <w:tc>
          <w:tcPr>
            <w:tcW w:type="dxa" w:w="468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Applicability</w:t>
            </w:r>
            <w:r>
              <w:rPr>
                <w:rFonts w:ascii="Arial" w:cs="Arial" w:eastAsia="Arial" w:hAnsi="Arial"/>
                <w:color w:val="2D2D2D"/>
                <w:sz w:val="20"/>
                <w:szCs w:val="20"/>
              </w:rPr>
              <w:t xml:space="preserve"/>
            </w:r>
          </w:p>
        </w:tc>
        <w:tc>
          <w:tcPr>
            <w:tcW w:type="dxa" w:w="468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All Financial Services Institutions</w:t>
            </w:r>
          </w:p>
        </w:tc>
      </w:tr>
      <w:tr>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Review Cycle</w:t>
            </w:r>
            <w:r>
              <w:rPr>
                <w:rFonts w:ascii="Arial" w:cs="Arial" w:eastAsia="Arial" w:hAnsi="Arial"/>
                <w:color w:val="2D2D2D"/>
                <w:sz w:val="20"/>
                <w:szCs w:val="20"/>
              </w:rPr>
              <w:t xml:space="preserve"/>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Annual or upon material regulatory change</w:t>
            </w:r>
          </w:p>
        </w:tc>
      </w:tr>
      <w:tr>
        <w:tc>
          <w:tcPr>
            <w:tcW w:type="dxa" w:w="468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Governance Owner</w:t>
            </w:r>
            <w:r>
              <w:rPr>
                <w:rFonts w:ascii="Arial" w:cs="Arial" w:eastAsia="Arial" w:hAnsi="Arial"/>
                <w:color w:val="2D2D2D"/>
                <w:sz w:val="20"/>
                <w:szCs w:val="20"/>
              </w:rPr>
              <w:t xml:space="preserve"/>
            </w:r>
          </w:p>
        </w:tc>
        <w:tc>
          <w:tcPr>
            <w:tcW w:type="dxa" w:w="468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Enterprise Architecture / Technology Governance</w:t>
            </w:r>
          </w:p>
        </w:tc>
      </w:tr>
      <w:tr>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Approval Authority</w:t>
            </w:r>
            <w:r>
              <w:rPr>
                <w:rFonts w:ascii="Arial" w:cs="Arial" w:eastAsia="Arial" w:hAnsi="Arial"/>
                <w:color w:val="2D2D2D"/>
                <w:sz w:val="20"/>
                <w:szCs w:val="20"/>
              </w:rPr>
              <w:t xml:space="preserve"/>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Technology Governance Council / Risk Governance Council</w:t>
            </w:r>
          </w:p>
        </w:tc>
      </w:tr>
    </w:tbl>
    <w:p>
      <w:r>
        <w:br w:type="page"/>
      </w:r>
    </w:p>
    <w:p>
      <w:pPr>
        <w:pStyle w:val="Heading1"/>
      </w:pPr>
      <w:r>
        <w:rPr>
          <w:rFonts w:ascii="Arial" w:cs="Arial" w:eastAsia="Arial" w:hAnsi="Arial"/>
          <w:b/>
          <w:bCs/>
          <w:color w:val="1B3A5C"/>
          <w:sz w:val="36"/>
          <w:szCs w:val="36"/>
        </w:rPr>
        <w:t xml:space="preserve">1. Executive Summary</w:t>
      </w:r>
    </w:p>
    <w:p>
      <w:pPr>
        <w:spacing w:after="120"/>
      </w:pPr>
      <w:r>
        <w:rPr>
          <w:rFonts w:ascii="Arial" w:cs="Arial" w:eastAsia="Arial" w:hAnsi="Arial"/>
          <w:color w:val="2D2D2D"/>
          <w:sz w:val="22"/>
          <w:szCs w:val="22"/>
        </w:rPr>
        <w:t xml:space="preserve">Financial services institutions face a compounding challenge: the pace of technology adoption is accelerating while regulatory expectations for governance, risk management, and auditability are simultaneously tightening. Most organizations manage software acquisition and development through fragmented, reactive processes that create duplication, compliance exposure, delayed value realization, and an inability to demonstrate to regulators that technology decisions are made through disciplined, documented, and repeatable methods.</w:t>
      </w:r>
    </w:p>
    <w:p>
      <w:pPr>
        <w:spacing w:after="120"/>
      </w:pPr>
      <w:r>
        <w:rPr>
          <w:rFonts w:ascii="Arial" w:cs="Arial" w:eastAsia="Arial" w:hAnsi="Arial"/>
          <w:color w:val="2D2D2D"/>
          <w:sz w:val="22"/>
          <w:szCs w:val="22"/>
        </w:rPr>
        <w:t xml:space="preserve">This framework establishes an end-to-end Enterprise Software Governance process—from the moment a capability gap is identified to post-deployment observability—designed to satisfy the most demanding regulatory environments in financial services while materially accelerating delivery velocity. It integrates:</w:t>
      </w:r>
    </w:p>
    <w:p>
      <w:pPr>
        <w:pStyle w:val="ListParagraph"/>
        <w:numPr>
          <w:ilvl w:val="0"/>
          <w:numId w:val="2"/>
        </w:numPr>
        <w:spacing w:after="60"/>
      </w:pPr>
      <w:r>
        <w:rPr>
          <w:rFonts w:ascii="Arial" w:cs="Arial" w:eastAsia="Arial" w:hAnsi="Arial"/>
          <w:color w:val="2D2D2D"/>
          <w:sz w:val="22"/>
          <w:szCs w:val="22"/>
        </w:rPr>
        <w:t xml:space="preserve">A continuously-updated Software Asset Intelligence layer that prevents duplicate spend and surfaces reuse opportunities before any request is submitted.</w:t>
      </w:r>
    </w:p>
    <w:p>
      <w:pPr>
        <w:pStyle w:val="ListParagraph"/>
        <w:numPr>
          <w:ilvl w:val="0"/>
          <w:numId w:val="2"/>
        </w:numPr>
        <w:spacing w:after="60"/>
      </w:pPr>
      <w:r>
        <w:rPr>
          <w:rFonts w:ascii="Arial" w:cs="Arial" w:eastAsia="Arial" w:hAnsi="Arial"/>
          <w:color w:val="2D2D2D"/>
          <w:sz w:val="22"/>
          <w:szCs w:val="22"/>
        </w:rPr>
        <w:t xml:space="preserve">A conversational AI intake engine that enforces completeness, concurrently classifies AI and vendor risk, and auto-generates structured product requirements artifacts pushed directly to development backlogs.</w:t>
      </w:r>
    </w:p>
    <w:p>
      <w:pPr>
        <w:pStyle w:val="ListParagraph"/>
        <w:numPr>
          <w:ilvl w:val="0"/>
          <w:numId w:val="2"/>
        </w:numPr>
        <w:spacing w:after="60"/>
      </w:pPr>
      <w:r>
        <w:rPr>
          <w:rFonts w:ascii="Arial" w:cs="Arial" w:eastAsia="Arial" w:hAnsi="Arial"/>
          <w:color w:val="2D2D2D"/>
          <w:sz w:val="22"/>
          <w:szCs w:val="22"/>
        </w:rPr>
        <w:t xml:space="preserve">Fourteen formalized Decision Model and Notation (DMN) decision tables that replace informal gateway reviews with deterministic, auditable, and independently verifiable decision logic.</w:t>
      </w:r>
    </w:p>
    <w:p>
      <w:pPr>
        <w:pStyle w:val="ListParagraph"/>
        <w:numPr>
          <w:ilvl w:val="0"/>
          <w:numId w:val="2"/>
        </w:numPr>
        <w:spacing w:after="60"/>
      </w:pPr>
      <w:r>
        <w:rPr>
          <w:rFonts w:ascii="Arial" w:cs="Arial" w:eastAsia="Arial" w:hAnsi="Arial"/>
          <w:color w:val="2D2D2D"/>
          <w:sz w:val="22"/>
          <w:szCs w:val="22"/>
        </w:rPr>
        <w:t xml:space="preserve">A mandatory capability reuse gate—governed by DMN—that queries the institutional registry and tests reuse potential before any downstream design or build activity proceeds.</w:t>
      </w:r>
    </w:p>
    <w:p>
      <w:pPr>
        <w:pStyle w:val="ListParagraph"/>
        <w:numPr>
          <w:ilvl w:val="0"/>
          <w:numId w:val="2"/>
        </w:numPr>
        <w:spacing w:after="60"/>
      </w:pPr>
      <w:r>
        <w:rPr>
          <w:rFonts w:ascii="Arial" w:cs="Arial" w:eastAsia="Arial" w:hAnsi="Arial"/>
          <w:color w:val="2D2D2D"/>
          <w:sz w:val="22"/>
          <w:szCs w:val="22"/>
        </w:rPr>
        <w:t xml:space="preserve">A full six-stage Third-Party Risk Management lifecycle aligned to OCC Bulletin 2023-17, with proportionate due diligence, ongoing monitoring, and termination management calibrated to vendor risk tier.</w:t>
      </w:r>
    </w:p>
    <w:p>
      <w:pPr>
        <w:pStyle w:val="ListParagraph"/>
        <w:numPr>
          <w:ilvl w:val="0"/>
          <w:numId w:val="2"/>
        </w:numPr>
        <w:spacing w:after="60"/>
      </w:pPr>
      <w:r>
        <w:rPr>
          <w:rFonts w:ascii="Arial" w:cs="Arial" w:eastAsia="Arial" w:hAnsi="Arial"/>
          <w:color w:val="2D2D2D"/>
          <w:sz w:val="22"/>
          <w:szCs w:val="22"/>
        </w:rPr>
        <w:t xml:space="preserve">An SR 11-7 Model Risk Management architecture for all AI-enabled components, including concurrent risk classification at intake, independent validation pathways, model inventory governance, and mandatory observability telemetry.</w:t>
      </w:r>
    </w:p>
    <w:p>
      <w:pPr>
        <w:pStyle w:val="ListParagraph"/>
        <w:numPr>
          <w:ilvl w:val="0"/>
          <w:numId w:val="2"/>
        </w:numPr>
        <w:spacing w:after="60"/>
      </w:pPr>
      <w:r>
        <w:rPr>
          <w:rFonts w:ascii="Arial" w:cs="Arial" w:eastAsia="Arial" w:hAnsi="Arial"/>
          <w:color w:val="2D2D2D"/>
          <w:sz w:val="22"/>
          <w:szCs w:val="22"/>
        </w:rPr>
        <w:t xml:space="preserve">A graph-based Legal Knowledge Base that contextualizes RFP and Master Services Agreement language by acquisition type, regulatory domain, and vendor risk tier.</w:t>
      </w:r>
    </w:p>
    <w:p>
      <w:pPr>
        <w:pStyle w:val="ListParagraph"/>
        <w:numPr>
          <w:ilvl w:val="0"/>
          <w:numId w:val="2"/>
        </w:numPr>
        <w:spacing w:after="60"/>
      </w:pPr>
      <w:r>
        <w:rPr>
          <w:rFonts w:ascii="Arial" w:cs="Arial" w:eastAsia="Arial" w:hAnsi="Arial"/>
          <w:color w:val="2D2D2D"/>
          <w:sz w:val="22"/>
          <w:szCs w:val="22"/>
        </w:rPr>
        <w:t xml:space="preserve">Controlled agent usage governed by deterministic knowledge bases, DMN rules, and full decision provenance logging—agents augment but never make unmonitored decisions.</w:t>
      </w:r>
    </w:p>
    <w:p>
      <w:pPr>
        <w:pStyle w:val="ListParagraph"/>
        <w:numPr>
          <w:ilvl w:val="0"/>
          <w:numId w:val="2"/>
        </w:numPr>
        <w:spacing w:after="60"/>
      </w:pPr>
      <w:r>
        <w:rPr>
          <w:rFonts w:ascii="Arial" w:cs="Arial" w:eastAsia="Arial" w:hAnsi="Arial"/>
          <w:color w:val="2D2D2D"/>
          <w:sz w:val="22"/>
          <w:szCs w:val="22"/>
        </w:rPr>
        <w:t xml:space="preserve">Phased automation driven by evidence of recurring friction, gradually reducing manual overhead while maintaining auditability at every step.</w:t>
      </w:r>
    </w:p>
    <w:p>
      <w:pPr>
        <w:pBdr>
          <w:left w:val="single" w:color="1B3A5C" w:sz="12" w:space="8"/>
        </w:pBdr>
        <w:shd w:fill="E8F4FD" w:val="clear"/>
        <w:spacing w:before="160" w:after="160"/>
        <w:ind w:left="240" w:right="240"/>
      </w:pPr>
      <w:r>
        <w:rPr>
          <w:rFonts w:ascii="Arial" w:cs="Arial" w:eastAsia="Arial" w:hAnsi="Arial"/>
          <w:i/>
          <w:iCs/>
          <w:color w:val="2D2D2D"/>
          <w:sz w:val="22"/>
          <w:szCs w:val="22"/>
        </w:rPr>
        <w:t xml:space="preserve">Core Design Philosophy: Deterministic-first, AI-augmented. Every material routing and approval decision is governed by explicit, auditable rules (DMN). Agents and AI accelerate intake, enrichment, classification, and generation—but never make unmonitored, unexplained decisions that affect business or regulatory outcomes. All activities—human, automated, or agent-enabled—are orchestrated and observable within a single BPMN workflow.</w:t>
      </w:r>
    </w:p>
    <w:p>
      <w:pPr>
        <w:pBdr>
          <w:left w:val="single" w:color="0D7377" w:sz="12" w:space="8"/>
        </w:pBdr>
        <w:shd w:fill="E8F5E9" w:val="clear"/>
        <w:spacing w:before="160" w:after="160"/>
        <w:ind w:left="240" w:right="240"/>
      </w:pPr>
      <w:r>
        <w:rPr>
          <w:rFonts w:ascii="Arial" w:cs="Arial" w:eastAsia="Arial" w:hAnsi="Arial"/>
          <w:i/>
          <w:iCs/>
          <w:color w:val="2D2D2D"/>
          <w:sz w:val="22"/>
          <w:szCs w:val="22"/>
        </w:rPr>
        <w:t xml:space="preserve">BPMN Mandate: This document is structured for direct translation into executable BPMN. Every phase maps to a BPMN sub-process. Every decision gate maps to a DMN Business Rules Task. Every task is observable, time-bound, and measurable. Every role maps to a BPMN swim lane.</w:t>
      </w:r>
    </w:p>
    <w:p>
      <w:r>
        <w:br w:type="page"/>
      </w:r>
    </w:p>
    <w:p>
      <w:pPr>
        <w:pStyle w:val="Heading1"/>
      </w:pPr>
      <w:r>
        <w:rPr>
          <w:rFonts w:ascii="Arial" w:cs="Arial" w:eastAsia="Arial" w:hAnsi="Arial"/>
          <w:b/>
          <w:bCs/>
          <w:color w:val="1B3A5C"/>
          <w:sz w:val="36"/>
          <w:szCs w:val="36"/>
        </w:rPr>
        <w:t xml:space="preserve">2. Scope and Applicability</w:t>
      </w:r>
    </w:p>
    <w:p>
      <w:pPr>
        <w:pStyle w:val="Heading2"/>
        <w:spacing w:before="300" w:after="120"/>
      </w:pPr>
      <w:r>
        <w:rPr>
          <w:rFonts w:ascii="Arial" w:cs="Arial" w:eastAsia="Arial" w:hAnsi="Arial"/>
          <w:b/>
          <w:bCs/>
          <w:color w:val="2C5F8A"/>
          <w:sz w:val="28"/>
          <w:szCs w:val="28"/>
        </w:rPr>
        <w:t xml:space="preserve">2.1 Institutional Applicability</w:t>
      </w:r>
    </w:p>
    <w:p>
      <w:pPr>
        <w:spacing w:after="120"/>
      </w:pPr>
      <w:r>
        <w:rPr>
          <w:rFonts w:ascii="Arial" w:cs="Arial" w:eastAsia="Arial" w:hAnsi="Arial"/>
          <w:color w:val="2D2D2D"/>
          <w:sz w:val="22"/>
          <w:szCs w:val="22"/>
        </w:rPr>
        <w:t xml:space="preserve">This framework applies to any institution regulated under OCC, Federal Reserve, FDIC, FINRA, or SEC jurisdiction, including commercial banks, broker-dealers, investment advisers, insurance companies, trust companies, credit unions, and financial technology companies subject to equivalent standards. The framework is principle-based and scalable: smaller institutions adopt the core workflow with lighter-weight tooling; larger institutions implement the full architecture including automated tooling integrations.</w:t>
      </w:r>
    </w:p>
    <w:p>
      <w:pPr>
        <w:pStyle w:val="Heading2"/>
        <w:spacing w:before="300" w:after="120"/>
      </w:pPr>
      <w:r>
        <w:rPr>
          <w:rFonts w:ascii="Arial" w:cs="Arial" w:eastAsia="Arial" w:hAnsi="Arial"/>
          <w:b/>
          <w:bCs/>
          <w:color w:val="2C5F8A"/>
          <w:sz w:val="28"/>
          <w:szCs w:val="28"/>
        </w:rPr>
        <w:t xml:space="preserve">2.2 Process Scope</w:t>
      </w:r>
    </w:p>
    <w:p>
      <w:pPr>
        <w:spacing w:after="120"/>
      </w:pPr>
      <w:r>
        <w:rPr>
          <w:rFonts w:ascii="Arial" w:cs="Arial" w:eastAsia="Arial" w:hAnsi="Arial"/>
          <w:color w:val="2D2D2D"/>
          <w:sz w:val="22"/>
          <w:szCs w:val="22"/>
        </w:rPr>
        <w:t xml:space="preserve">This framework governs every instance in which the institution acquires, builds, enables, or renews software—regardless of whether the solution is commercially purchased, internally developed, open-source, cloud-hosted, or AI-enabled. Specifically:</w:t>
      </w:r>
    </w:p>
    <w:p>
      <w:pPr>
        <w:pStyle w:val="ListParagraph"/>
        <w:numPr>
          <w:ilvl w:val="0"/>
          <w:numId w:val="2"/>
        </w:numPr>
        <w:spacing w:after="60"/>
      </w:pPr>
      <w:r>
        <w:rPr>
          <w:rFonts w:ascii="Arial" w:cs="Arial" w:eastAsia="Arial" w:hAnsi="Arial"/>
          <w:color w:val="2D2D2D"/>
          <w:sz w:val="22"/>
          <w:szCs w:val="22"/>
        </w:rPr>
        <w:t xml:space="preserve">Net-new software acquisitions from commercial vendors (SaaS, PaaS, licensed software).</w:t>
      </w:r>
    </w:p>
    <w:p>
      <w:pPr>
        <w:pStyle w:val="ListParagraph"/>
        <w:numPr>
          <w:ilvl w:val="0"/>
          <w:numId w:val="2"/>
        </w:numPr>
        <w:spacing w:after="60"/>
      </w:pPr>
      <w:r>
        <w:rPr>
          <w:rFonts w:ascii="Arial" w:cs="Arial" w:eastAsia="Arial" w:hAnsi="Arial"/>
          <w:color w:val="2D2D2D"/>
          <w:sz w:val="22"/>
          <w:szCs w:val="22"/>
        </w:rPr>
        <w:t xml:space="preserve">Internal software development initiatives (new capabilities, platforms, and significant enhancements).</w:t>
      </w:r>
    </w:p>
    <w:p>
      <w:pPr>
        <w:pStyle w:val="ListParagraph"/>
        <w:numPr>
          <w:ilvl w:val="0"/>
          <w:numId w:val="2"/>
        </w:numPr>
        <w:spacing w:after="60"/>
      </w:pPr>
      <w:r>
        <w:rPr>
          <w:rFonts w:ascii="Arial" w:cs="Arial" w:eastAsia="Arial" w:hAnsi="Arial"/>
          <w:color w:val="2D2D2D"/>
          <w:sz w:val="22"/>
          <w:szCs w:val="22"/>
        </w:rPr>
        <w:t xml:space="preserve">AI and machine learning model acquisitions and deployments (subject to SR 11-7 / NIST AI RMF).</w:t>
      </w:r>
    </w:p>
    <w:p>
      <w:pPr>
        <w:pStyle w:val="ListParagraph"/>
        <w:numPr>
          <w:ilvl w:val="0"/>
          <w:numId w:val="2"/>
        </w:numPr>
        <w:spacing w:after="60"/>
      </w:pPr>
      <w:r>
        <w:rPr>
          <w:rFonts w:ascii="Arial" w:cs="Arial" w:eastAsia="Arial" w:hAnsi="Arial"/>
          <w:color w:val="2D2D2D"/>
          <w:sz w:val="22"/>
          <w:szCs w:val="22"/>
        </w:rPr>
        <w:t xml:space="preserve">Open-source software adoption in production environments.</w:t>
      </w:r>
    </w:p>
    <w:p>
      <w:pPr>
        <w:pStyle w:val="ListParagraph"/>
        <w:numPr>
          <w:ilvl w:val="0"/>
          <w:numId w:val="2"/>
        </w:numPr>
        <w:spacing w:after="60"/>
      </w:pPr>
      <w:r>
        <w:rPr>
          <w:rFonts w:ascii="Arial" w:cs="Arial" w:eastAsia="Arial" w:hAnsi="Arial"/>
          <w:color w:val="2D2D2D"/>
          <w:sz w:val="22"/>
          <w:szCs w:val="22"/>
        </w:rPr>
        <w:t xml:space="preserve">Significant upgrades or contract renewals where the risk profile materially changes.</w:t>
      </w:r>
    </w:p>
    <w:p>
      <w:pPr>
        <w:pStyle w:val="ListParagraph"/>
        <w:numPr>
          <w:ilvl w:val="0"/>
          <w:numId w:val="2"/>
        </w:numPr>
        <w:spacing w:after="60"/>
      </w:pPr>
      <w:r>
        <w:rPr>
          <w:rFonts w:ascii="Arial" w:cs="Arial" w:eastAsia="Arial" w:hAnsi="Arial"/>
          <w:color w:val="2D2D2D"/>
          <w:sz w:val="22"/>
          <w:szCs w:val="22"/>
        </w:rPr>
        <w:t xml:space="preserve">Shadow IT identified through continuous Software Asset Management scanning.</w:t>
      </w:r>
    </w:p>
    <w:p>
      <w:pPr>
        <w:pStyle w:val="Heading2"/>
        <w:spacing w:before="300" w:after="120"/>
      </w:pPr>
      <w:r>
        <w:rPr>
          <w:rFonts w:ascii="Arial" w:cs="Arial" w:eastAsia="Arial" w:hAnsi="Arial"/>
          <w:b/>
          <w:bCs/>
          <w:color w:val="2C5F8A"/>
          <w:sz w:val="28"/>
          <w:szCs w:val="28"/>
        </w:rPr>
        <w:t xml:space="preserve">2.3 Exclusions</w:t>
      </w:r>
    </w:p>
    <w:p>
      <w:pPr>
        <w:pStyle w:val="ListParagraph"/>
        <w:numPr>
          <w:ilvl w:val="0"/>
          <w:numId w:val="2"/>
        </w:numPr>
        <w:spacing w:after="60"/>
      </w:pPr>
      <w:r>
        <w:rPr>
          <w:rFonts w:ascii="Arial" w:cs="Arial" w:eastAsia="Arial" w:hAnsi="Arial"/>
          <w:color w:val="2D2D2D"/>
          <w:sz w:val="22"/>
          <w:szCs w:val="22"/>
        </w:rPr>
        <w:t xml:space="preserve">Minor software updates and patches governed by the institution’s Change Management process.</w:t>
      </w:r>
    </w:p>
    <w:p>
      <w:pPr>
        <w:pStyle w:val="ListParagraph"/>
        <w:numPr>
          <w:ilvl w:val="0"/>
          <w:numId w:val="2"/>
        </w:numPr>
        <w:spacing w:after="60"/>
      </w:pPr>
      <w:r>
        <w:rPr>
          <w:rFonts w:ascii="Arial" w:cs="Arial" w:eastAsia="Arial" w:hAnsi="Arial"/>
          <w:color w:val="2D2D2D"/>
          <w:sz w:val="22"/>
          <w:szCs w:val="22"/>
        </w:rPr>
        <w:t xml:space="preserve">Emergency break-fix activities governed by Incident Management.</w:t>
      </w:r>
    </w:p>
    <w:p>
      <w:pPr>
        <w:pStyle w:val="ListParagraph"/>
        <w:numPr>
          <w:ilvl w:val="0"/>
          <w:numId w:val="2"/>
        </w:numPr>
        <w:spacing w:after="60"/>
      </w:pPr>
      <w:r>
        <w:rPr>
          <w:rFonts w:ascii="Arial" w:cs="Arial" w:eastAsia="Arial" w:hAnsi="Arial"/>
          <w:color w:val="2D2D2D"/>
          <w:sz w:val="22"/>
          <w:szCs w:val="22"/>
        </w:rPr>
        <w:t xml:space="preserve">Hardware procurement (governed by IT Asset Management separately).</w:t>
      </w:r>
    </w:p>
    <w:p>
      <w:r>
        <w:br w:type="page"/>
      </w:r>
    </w:p>
    <w:p>
      <w:pPr>
        <w:pStyle w:val="Heading1"/>
      </w:pPr>
      <w:r>
        <w:rPr>
          <w:rFonts w:ascii="Arial" w:cs="Arial" w:eastAsia="Arial" w:hAnsi="Arial"/>
          <w:b/>
          <w:bCs/>
          <w:color w:val="1B3A5C"/>
          <w:sz w:val="36"/>
          <w:szCs w:val="36"/>
        </w:rPr>
        <w:t xml:space="preserve">3. Guiding Design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c>
          <w:tcPr>
            <w:tcW w:type="dxa" w:w="220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Principle</w:t>
            </w:r>
          </w:p>
        </w:tc>
        <w:tc>
          <w:tcPr>
            <w:tcW w:type="dxa" w:w="456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60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Primary Benefit</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Compliance by Design</w:t>
            </w:r>
            <w:r>
              <w:rPr>
                <w:rFonts w:ascii="Arial" w:cs="Arial" w:eastAsia="Arial" w:hAnsi="Arial"/>
                <w:color w:val="2D2D2D"/>
                <w:sz w:val="20"/>
                <w:szCs w:val="20"/>
              </w:rPr>
              <w:t xml:space="preserve"/>
            </w:r>
          </w:p>
        </w:tc>
        <w:tc>
          <w:tcPr>
            <w:tcW w:type="dxa" w:w="4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Regulatory requirements (SR 11-7, OCC 2023-17, SEC, FINRA) are embedded in process steps, not added as post-hoc reviews. Every decision gate is traceable to a regulatory obligation.</w:t>
            </w:r>
          </w:p>
        </w:tc>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Reduces remediation cost; audit-ready at all times</w:t>
            </w:r>
          </w:p>
        </w:tc>
      </w:tr>
      <w:tr>
        <w:tc>
          <w:tcPr>
            <w:tcW w:type="dxa" w:w="22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Deterministic-First Governance</w:t>
            </w:r>
            <w:r>
              <w:rPr>
                <w:rFonts w:ascii="Arial" w:cs="Arial" w:eastAsia="Arial" w:hAnsi="Arial"/>
                <w:color w:val="2D2D2D"/>
                <w:sz w:val="20"/>
                <w:szCs w:val="20"/>
              </w:rPr>
              <w:t xml:space="preserve"/>
            </w:r>
          </w:p>
        </w:tc>
        <w:tc>
          <w:tcPr>
            <w:tcW w:type="dxa" w:w="456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All material routing and approval decisions are encoded in explicit DMN rules. AI and agents augment but never silently determine outcomes. Every decision is logged with its rule ID or model version.</w:t>
            </w:r>
          </w:p>
        </w:tc>
        <w:tc>
          <w:tcPr>
            <w:tcW w:type="dxa" w:w="26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Explainability; regulatory defensibility; reproducibility</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Capability Reuse Before Net-New Build</w:t>
            </w:r>
            <w:r>
              <w:rPr>
                <w:rFonts w:ascii="Arial" w:cs="Arial" w:eastAsia="Arial" w:hAnsi="Arial"/>
                <w:color w:val="2D2D2D"/>
                <w:sz w:val="20"/>
                <w:szCs w:val="20"/>
              </w:rPr>
              <w:t xml:space="preserve"/>
            </w:r>
          </w:p>
        </w:tc>
        <w:tc>
          <w:tcPr>
            <w:tcW w:type="dxa" w:w="4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A mandatory registry query and reuse assessment occurs before any downstream design or build activity. The decision rationale is logged and governed by DMN.</w:t>
            </w:r>
          </w:p>
        </w:tc>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Prevents redundancy; shortens cycle time; reduces downstream compliance effort</w:t>
            </w:r>
          </w:p>
        </w:tc>
      </w:tr>
      <w:tr>
        <w:tc>
          <w:tcPr>
            <w:tcW w:type="dxa" w:w="22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Early Deterministic Compliance</w:t>
            </w:r>
            <w:r>
              <w:rPr>
                <w:rFonts w:ascii="Arial" w:cs="Arial" w:eastAsia="Arial" w:hAnsi="Arial"/>
                <w:color w:val="2D2D2D"/>
                <w:sz w:val="20"/>
                <w:szCs w:val="20"/>
              </w:rPr>
              <w:t xml:space="preserve"/>
            </w:r>
          </w:p>
        </w:tc>
        <w:tc>
          <w:tcPr>
            <w:tcW w:type="dxa" w:w="456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Compliance and risk evaluation occur at intake—not as a late-stage gate. All compliance inputs come from deterministic, auditable knowledge bases. No informal email-based validation loops.</w:t>
            </w:r>
          </w:p>
        </w:tc>
        <w:tc>
          <w:tcPr>
            <w:tcW w:type="dxa" w:w="26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Shifts compliance left; identifies risk earlier; eliminates shadow work</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Proportionality</w:t>
            </w:r>
            <w:r>
              <w:rPr>
                <w:rFonts w:ascii="Arial" w:cs="Arial" w:eastAsia="Arial" w:hAnsi="Arial"/>
                <w:color w:val="2D2D2D"/>
                <w:sz w:val="20"/>
                <w:szCs w:val="20"/>
              </w:rPr>
              <w:t xml:space="preserve"/>
            </w:r>
          </w:p>
        </w:tc>
        <w:tc>
          <w:tcPr>
            <w:tcW w:type="dxa" w:w="4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Governance depth is calibrated to actual risk. A low-risk internal tool fast-tracks in days. A Tier 1 AI vendor for a credit decision triggers the full lifecycle.</w:t>
            </w:r>
          </w:p>
        </w:tc>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Avoids governance theatre; preserves velocity for low-risk work</w:t>
            </w:r>
          </w:p>
        </w:tc>
      </w:tr>
      <w:tr>
        <w:tc>
          <w:tcPr>
            <w:tcW w:type="dxa" w:w="22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Continuous Intelligence Over Reactive Checking</w:t>
            </w:r>
            <w:r>
              <w:rPr>
                <w:rFonts w:ascii="Arial" w:cs="Arial" w:eastAsia="Arial" w:hAnsi="Arial"/>
                <w:color w:val="2D2D2D"/>
                <w:sz w:val="20"/>
                <w:szCs w:val="20"/>
              </w:rPr>
              <w:t xml:space="preserve"/>
            </w:r>
          </w:p>
        </w:tc>
        <w:tc>
          <w:tcPr>
            <w:tcW w:type="dxa" w:w="456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A live Software Asset Registry is maintained continuously. Duplication and reuse opportunities are surfaced automatically before a request is submitted, not discovered midway through procurement.</w:t>
            </w:r>
          </w:p>
        </w:tc>
        <w:tc>
          <w:tcPr>
            <w:tcW w:type="dxa" w:w="26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Eliminates waste; reduces cycle time; prevents shadow IT</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Controlled Agent Usage</w:t>
            </w:r>
            <w:r>
              <w:rPr>
                <w:rFonts w:ascii="Arial" w:cs="Arial" w:eastAsia="Arial" w:hAnsi="Arial"/>
                <w:color w:val="2D2D2D"/>
                <w:sz w:val="20"/>
                <w:szCs w:val="20"/>
              </w:rPr>
              <w:t xml:space="preserve"/>
            </w:r>
          </w:p>
        </w:tc>
        <w:tc>
          <w:tcPr>
            <w:tcW w:type="dxa" w:w="4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Agents are permitted only when outputs are deterministic and reproducible, they use deterministic knowledge bases, decision provenance is logged, and they follow DMN rules.</w:t>
            </w:r>
          </w:p>
        </w:tc>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Trust; auditability; reproducibility</w:t>
            </w:r>
          </w:p>
        </w:tc>
      </w:tr>
      <w:tr>
        <w:tc>
          <w:tcPr>
            <w:tcW w:type="dxa" w:w="22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Deterministic Knowledge Integration</w:t>
            </w:r>
            <w:r>
              <w:rPr>
                <w:rFonts w:ascii="Arial" w:cs="Arial" w:eastAsia="Arial" w:hAnsi="Arial"/>
                <w:color w:val="2D2D2D"/>
                <w:sz w:val="20"/>
                <w:szCs w:val="20"/>
              </w:rPr>
              <w:t xml:space="preserve"/>
            </w:r>
          </w:p>
        </w:tc>
        <w:tc>
          <w:tcPr>
            <w:tcW w:type="dxa" w:w="456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Where knowledge is generated, it is staged into deterministic knowledge bases. Manual follow-ups (email, ad hoc coordination) are replaced with structured retrieval and rule execution.</w:t>
            </w:r>
          </w:p>
        </w:tc>
        <w:tc>
          <w:tcPr>
            <w:tcW w:type="dxa" w:w="26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Reduces person-to-person dependency; increases reuse; eliminates shadow work</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Automation of Commodity Work</w:t>
            </w:r>
            <w:r>
              <w:rPr>
                <w:rFonts w:ascii="Arial" w:cs="Arial" w:eastAsia="Arial" w:hAnsi="Arial"/>
                <w:color w:val="2D2D2D"/>
                <w:sz w:val="20"/>
                <w:szCs w:val="20"/>
              </w:rPr>
              <w:t xml:space="preserve"/>
            </w:r>
          </w:p>
        </w:tc>
        <w:tc>
          <w:tcPr>
            <w:tcW w:type="dxa" w:w="4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Intake completeness enforcement, PRD generation, story creation, Git branching, TPRM monitoring triggers, and routine governance notifications are automated. Human judgment is reserved for complex, novel, or high-stakes decisions.</w:t>
            </w:r>
          </w:p>
        </w:tc>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Throughput; consistency; reduced manual error</w:t>
            </w:r>
          </w:p>
        </w:tc>
      </w:tr>
      <w:tr>
        <w:tc>
          <w:tcPr>
            <w:tcW w:type="dxa" w:w="22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Single Source of Truth</w:t>
            </w:r>
            <w:r>
              <w:rPr>
                <w:rFonts w:ascii="Arial" w:cs="Arial" w:eastAsia="Arial" w:hAnsi="Arial"/>
                <w:color w:val="2D2D2D"/>
                <w:sz w:val="20"/>
                <w:szCs w:val="20"/>
              </w:rPr>
              <w:t xml:space="preserve"/>
            </w:r>
          </w:p>
        </w:tc>
        <w:tc>
          <w:tcPr>
            <w:tcW w:type="dxa" w:w="456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All request records, risk assessments, vendor files, contract documents, AI model inventory entries, and decision audit logs are maintained in connected, integrated systems—not fragmented across email and spreadsheets.</w:t>
            </w:r>
          </w:p>
        </w:tc>
        <w:tc>
          <w:tcPr>
            <w:tcW w:type="dxa" w:w="26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Audit readiness; process transparency; data integrity</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Observability and SLA Management</w:t>
            </w:r>
            <w:r>
              <w:rPr>
                <w:rFonts w:ascii="Arial" w:cs="Arial" w:eastAsia="Arial" w:hAnsi="Arial"/>
                <w:color w:val="2D2D2D"/>
                <w:sz w:val="20"/>
                <w:szCs w:val="20"/>
              </w:rPr>
              <w:t xml:space="preserve"/>
            </w:r>
          </w:p>
        </w:tc>
        <w:tc>
          <w:tcPr>
            <w:tcW w:type="dxa" w:w="4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The BPMN model includes SLAs for major task categories, queue and backlog visibility, time-based escalation, and bottleneck detection. Every task is observable, time-bound, and measurable.</w:t>
            </w:r>
          </w:p>
        </w:tc>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Continuous process improvement; targeted automation</w:t>
            </w:r>
          </w:p>
        </w:tc>
      </w:tr>
      <w:tr>
        <w:tc>
          <w:tcPr>
            <w:tcW w:type="dxa" w:w="22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Phased Automation</w:t>
            </w:r>
            <w:r>
              <w:rPr>
                <w:rFonts w:ascii="Arial" w:cs="Arial" w:eastAsia="Arial" w:hAnsi="Arial"/>
                <w:color w:val="2D2D2D"/>
                <w:sz w:val="20"/>
                <w:szCs w:val="20"/>
              </w:rPr>
              <w:t xml:space="preserve"/>
            </w:r>
          </w:p>
        </w:tc>
        <w:tc>
          <w:tcPr>
            <w:tcW w:type="dxa" w:w="456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Not everything is automated immediately. The system identifies recurring friction, gradually automates deterministic steps, and reduces manual overhead over time. Automation is evidence-driven.</w:t>
            </w:r>
          </w:p>
        </w:tc>
        <w:tc>
          <w:tcPr>
            <w:tcW w:type="dxa" w:w="26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Sustainable adoption; risk-managed transformation</w:t>
            </w:r>
          </w:p>
        </w:tc>
      </w:tr>
    </w:tbl>
    <w:p>
      <w:r>
        <w:br w:type="page"/>
      </w:r>
    </w:p>
    <w:p>
      <w:pPr>
        <w:pStyle w:val="Heading1"/>
      </w:pPr>
      <w:r>
        <w:rPr>
          <w:rFonts w:ascii="Arial" w:cs="Arial" w:eastAsia="Arial" w:hAnsi="Arial"/>
          <w:b/>
          <w:bCs/>
          <w:color w:val="1B3A5C"/>
          <w:sz w:val="36"/>
          <w:szCs w:val="36"/>
        </w:rPr>
        <w:t xml:space="preserve">4. Roles and Responsibilities</w:t>
      </w:r>
    </w:p>
    <w:p>
      <w:pPr>
        <w:pBdr>
          <w:left w:val="single" w:color="0D7377" w:sz="12" w:space="8"/>
        </w:pBdr>
        <w:shd w:fill="E8F5E9" w:val="clear"/>
        <w:spacing w:before="160" w:after="160"/>
        <w:ind w:left="240" w:right="240"/>
      </w:pPr>
      <w:r>
        <w:rPr>
          <w:rFonts w:ascii="Arial" w:cs="Arial" w:eastAsia="Arial" w:hAnsi="Arial"/>
          <w:i/>
          <w:iCs/>
          <w:color w:val="2D2D2D"/>
          <w:sz w:val="22"/>
          <w:szCs w:val="22"/>
        </w:rPr>
        <w:t xml:space="preserve">Role-Based Design: All responsibilities are defined by functional role, not job title. Roles align directly to BPMN swim lanes. Each task in the workflow is explicitly categorized as Automated (A), Deterministic Agent-Enabled (DA), or Human-in-the-Loop (H). Individuals may hold multiple roles; conversely, roles may be fulfilled by committees or working groups. Authorization levels are defined in alignment with OCC guidance on critical activity oversight.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1800"/>
        <w:gridCol w:w="1160"/>
        <w:gridCol w:w="1200"/>
      </w:tblGrid>
      <w:tr>
        <w:tc>
          <w:tcPr>
            <w:tcW w:type="dxa" w:w="200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320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Core Responsibilities</w:t>
            </w:r>
          </w:p>
        </w:tc>
        <w:tc>
          <w:tcPr>
            <w:tcW w:type="dxa" w:w="180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Decision Authority</w:t>
            </w:r>
          </w:p>
        </w:tc>
        <w:tc>
          <w:tcPr>
            <w:tcW w:type="dxa" w:w="116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Task Type</w:t>
            </w:r>
          </w:p>
        </w:tc>
        <w:tc>
          <w:tcPr>
            <w:tcW w:type="dxa" w:w="120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BPMN Lane</w:t>
            </w:r>
          </w:p>
        </w:tc>
      </w:tr>
      <w:tr>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Business Requestor</w:t>
            </w:r>
            <w:r>
              <w:rPr>
                <w:rFonts w:ascii="Arial" w:cs="Arial" w:eastAsia="Arial" w:hAnsi="Arial"/>
                <w:color w:val="2D2D2D"/>
                <w:sz w:val="20"/>
                <w:szCs w:val="20"/>
              </w:rPr>
              <w:t xml:space="preserve"/>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Identifies capability gap; completes conversational intake; provides business context, value quantification, and stakeholder confirmation; monitors request status via portal</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Submits requests; no approval authority</w:t>
            </w:r>
          </w:p>
        </w:tc>
        <w:tc>
          <w:tcPr>
            <w:tcW w:type="dxa" w:w="1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H</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Requestor</w:t>
            </w:r>
          </w:p>
        </w:tc>
      </w:tr>
      <w:tr>
        <w:tc>
          <w:tcPr>
            <w:tcW w:type="dxa" w:w="20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Product Owner</w:t>
            </w:r>
            <w:r>
              <w:rPr>
                <w:rFonts w:ascii="Arial" w:cs="Arial" w:eastAsia="Arial" w:hAnsi="Arial"/>
                <w:color w:val="2D2D2D"/>
                <w:sz w:val="20"/>
                <w:szCs w:val="20"/>
              </w:rPr>
              <w:t xml:space="preserve"/>
            </w:r>
          </w:p>
        </w:tc>
        <w:tc>
          <w:tcPr>
            <w:tcW w:type="dxa" w:w="32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Quarterbacks each request from intake through delivery; validates PRD completeness; coordinates SME reviews; manages backlog; owns Go-to-Market readiness</w:t>
            </w:r>
          </w:p>
        </w:tc>
        <w:tc>
          <w:tcPr>
            <w:tcW w:type="dxa" w:w="18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Information gating; backlog entry approval</w:t>
            </w:r>
          </w:p>
        </w:tc>
        <w:tc>
          <w:tcPr>
            <w:tcW w:type="dxa" w:w="116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H</w:t>
            </w:r>
          </w:p>
        </w:tc>
        <w:tc>
          <w:tcPr>
            <w:tcW w:type="dxa" w:w="12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Product Mgmt</w:t>
            </w:r>
          </w:p>
        </w:tc>
      </w:tr>
      <w:tr>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Portfolio Governance Council</w:t>
            </w:r>
            <w:r>
              <w:rPr>
                <w:rFonts w:ascii="Arial" w:cs="Arial" w:eastAsia="Arial" w:hAnsi="Arial"/>
                <w:color w:val="2D2D2D"/>
                <w:sz w:val="20"/>
                <w:szCs w:val="20"/>
              </w:rPr>
              <w:t xml:space="preserve"/>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Cross-functional governance body (Technology, Product, Procurement, Risk, Finance, Compliance representatives); makes Go/No-Go, Buy vs. Build, and portfolio sequencing decisions</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Go/No-Go; Buy/Build; budget release authority</w:t>
            </w:r>
          </w:p>
        </w:tc>
        <w:tc>
          <w:tcPr>
            <w:tcW w:type="dxa" w:w="1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H</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Governance</w:t>
            </w:r>
          </w:p>
        </w:tc>
      </w:tr>
      <w:tr>
        <w:tc>
          <w:tcPr>
            <w:tcW w:type="dxa" w:w="20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Enterprise Architect</w:t>
            </w:r>
            <w:r>
              <w:rPr>
                <w:rFonts w:ascii="Arial" w:cs="Arial" w:eastAsia="Arial" w:hAnsi="Arial"/>
                <w:color w:val="2D2D2D"/>
                <w:sz w:val="20"/>
                <w:szCs w:val="20"/>
              </w:rPr>
              <w:t xml:space="preserve"/>
            </w:r>
          </w:p>
        </w:tc>
        <w:tc>
          <w:tcPr>
            <w:tcW w:type="dxa" w:w="32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Evaluates technical fit, integration dependencies, platform alignment, HLDD quality, and architecture standards adherence; approves PoC scope; signs off on build integration</w:t>
            </w:r>
          </w:p>
        </w:tc>
        <w:tc>
          <w:tcPr>
            <w:tcW w:type="dxa" w:w="18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Technical acceptance; PoC gate sign-off</w:t>
            </w:r>
          </w:p>
        </w:tc>
        <w:tc>
          <w:tcPr>
            <w:tcW w:type="dxa" w:w="116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H</w:t>
            </w:r>
          </w:p>
        </w:tc>
        <w:tc>
          <w:tcPr>
            <w:tcW w:type="dxa" w:w="12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Technology</w:t>
            </w:r>
          </w:p>
        </w:tc>
      </w:tr>
      <w:tr>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Cybersecurity Lead</w:t>
            </w:r>
            <w:r>
              <w:rPr>
                <w:rFonts w:ascii="Arial" w:cs="Arial" w:eastAsia="Arial" w:hAnsi="Arial"/>
                <w:color w:val="2D2D2D"/>
                <w:sz w:val="20"/>
                <w:szCs w:val="20"/>
              </w:rPr>
              <w:t xml:space="preserve"/>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Evaluates security posture, data classification, access model, encryption, pen test results, and incident history; reviews vendor SBOMs; approves security-related RAE elements</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Security clearance; RAE security sign-off</w:t>
            </w:r>
          </w:p>
        </w:tc>
        <w:tc>
          <w:tcPr>
            <w:tcW w:type="dxa" w:w="1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H</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Technology</w:t>
            </w:r>
          </w:p>
        </w:tc>
      </w:tr>
      <w:tr>
        <w:tc>
          <w:tcPr>
            <w:tcW w:type="dxa" w:w="20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AI / Model Risk Governance</w:t>
            </w:r>
            <w:r>
              <w:rPr>
                <w:rFonts w:ascii="Arial" w:cs="Arial" w:eastAsia="Arial" w:hAnsi="Arial"/>
                <w:color w:val="2D2D2D"/>
                <w:sz w:val="20"/>
                <w:szCs w:val="20"/>
              </w:rPr>
              <w:t xml:space="preserve"/>
            </w:r>
          </w:p>
        </w:tc>
        <w:tc>
          <w:tcPr>
            <w:tcW w:type="dxa" w:w="32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Classifies AI risk at intake (SR 11-7 tiers); maintains Model Risk Inventory; validates AI models per SR 11-7; approves AI Governance checklist; defines observability and drift monitoring requirements; escalates high-risk systems to senior executive sponsor</w:t>
            </w:r>
          </w:p>
        </w:tc>
        <w:tc>
          <w:tcPr>
            <w:tcW w:type="dxa" w:w="18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Model inventory entry; AI use approval; escalation to executive sponsor</w:t>
            </w:r>
          </w:p>
        </w:tc>
        <w:tc>
          <w:tcPr>
            <w:tcW w:type="dxa" w:w="116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H / DA</w:t>
            </w:r>
          </w:p>
        </w:tc>
        <w:tc>
          <w:tcPr>
            <w:tcW w:type="dxa" w:w="12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Risk</w:t>
            </w:r>
          </w:p>
        </w:tc>
      </w:tr>
      <w:tr>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Legal Counsel</w:t>
            </w:r>
            <w:r>
              <w:rPr>
                <w:rFonts w:ascii="Arial" w:cs="Arial" w:eastAsia="Arial" w:hAnsi="Arial"/>
                <w:color w:val="2D2D2D"/>
                <w:sz w:val="20"/>
                <w:szCs w:val="20"/>
              </w:rPr>
              <w:t xml:space="preserve"/>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Reviews and approves MSA, DPAs, IP clauses, liability caps, and regulatory compliance provisions; accesses Legal Knowledge Graph for clause selection; approves final contracts</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Contract approval; legal sign-off</w:t>
            </w:r>
          </w:p>
        </w:tc>
        <w:tc>
          <w:tcPr>
            <w:tcW w:type="dxa" w:w="1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H</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Legal</w:t>
            </w:r>
          </w:p>
        </w:tc>
      </w:tr>
      <w:tr>
        <w:tc>
          <w:tcPr>
            <w:tcW w:type="dxa" w:w="20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Procurement Lead</w:t>
            </w:r>
            <w:r>
              <w:rPr>
                <w:rFonts w:ascii="Arial" w:cs="Arial" w:eastAsia="Arial" w:hAnsi="Arial"/>
                <w:color w:val="2D2D2D"/>
                <w:sz w:val="20"/>
                <w:szCs w:val="20"/>
              </w:rPr>
              <w:t xml:space="preserve"/>
            </w:r>
          </w:p>
        </w:tc>
        <w:tc>
          <w:tcPr>
            <w:tcW w:type="dxa" w:w="32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Owns vendor sourcing strategy; constructs and issues RFP; manages sourcing event and vendor evaluation; negotiates commercial terms; coordinates full TPRM lifecycle</w:t>
            </w:r>
          </w:p>
        </w:tc>
        <w:tc>
          <w:tcPr>
            <w:tcW w:type="dxa" w:w="18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RFP release; vendor selection recommendation</w:t>
            </w:r>
          </w:p>
        </w:tc>
        <w:tc>
          <w:tcPr>
            <w:tcW w:type="dxa" w:w="116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H</w:t>
            </w:r>
          </w:p>
        </w:tc>
        <w:tc>
          <w:tcPr>
            <w:tcW w:type="dxa" w:w="12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Procurement</w:t>
            </w:r>
          </w:p>
        </w:tc>
      </w:tr>
      <w:tr>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Third-Party Risk Manager</w:t>
            </w:r>
            <w:r>
              <w:rPr>
                <w:rFonts w:ascii="Arial" w:cs="Arial" w:eastAsia="Arial" w:hAnsi="Arial"/>
                <w:color w:val="2D2D2D"/>
                <w:sz w:val="20"/>
                <w:szCs w:val="20"/>
              </w:rPr>
              <w:t xml:space="preserve"/>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Conducts vendor risk tiering; maintains Vendor Register; coordinates due diligence program; executes Risk Assessment Evaluation; manages ongoing monitoring and incident escalations</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Vendor risk tier assignment; RAE approval</w:t>
            </w:r>
          </w:p>
        </w:tc>
        <w:tc>
          <w:tcPr>
            <w:tcW w:type="dxa" w:w="1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H / DA</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Risk</w:t>
            </w:r>
          </w:p>
        </w:tc>
      </w:tr>
      <w:tr>
        <w:tc>
          <w:tcPr>
            <w:tcW w:type="dxa" w:w="20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Compliance Governance</w:t>
            </w:r>
            <w:r>
              <w:rPr>
                <w:rFonts w:ascii="Arial" w:cs="Arial" w:eastAsia="Arial" w:hAnsi="Arial"/>
                <w:color w:val="2D2D2D"/>
                <w:sz w:val="20"/>
                <w:szCs w:val="20"/>
              </w:rPr>
              <w:t xml:space="preserve"/>
            </w:r>
          </w:p>
        </w:tc>
        <w:tc>
          <w:tcPr>
            <w:tcW w:type="dxa" w:w="32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Validates applicable regulatory requirements at each stage; reviews AI governance for compliance-relevant uses; advises on FINRA, SEC, OCC, and CFPB obligations</w:t>
            </w:r>
          </w:p>
        </w:tc>
        <w:tc>
          <w:tcPr>
            <w:tcW w:type="dxa" w:w="18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Compliance clearance</w:t>
            </w:r>
          </w:p>
        </w:tc>
        <w:tc>
          <w:tcPr>
            <w:tcW w:type="dxa" w:w="116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H</w:t>
            </w:r>
          </w:p>
        </w:tc>
        <w:tc>
          <w:tcPr>
            <w:tcW w:type="dxa" w:w="12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Risk</w:t>
            </w:r>
          </w:p>
        </w:tc>
      </w:tr>
      <w:tr>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Finance Controller</w:t>
            </w:r>
            <w:r>
              <w:rPr>
                <w:rFonts w:ascii="Arial" w:cs="Arial" w:eastAsia="Arial" w:hAnsi="Arial"/>
                <w:color w:val="2D2D2D"/>
                <w:sz w:val="20"/>
                <w:szCs w:val="20"/>
              </w:rPr>
              <w:t xml:space="preserve"/>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Confirms budget availability; validates Total Cost of Ownership model; integrates contract financials into FP&amp;A; approves funding confirmation for final contracting</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Funding confirmation</w:t>
            </w:r>
          </w:p>
        </w:tc>
        <w:tc>
          <w:tcPr>
            <w:tcW w:type="dxa" w:w="1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H</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Finance</w:t>
            </w:r>
          </w:p>
        </w:tc>
      </w:tr>
      <w:tr>
        <w:tc>
          <w:tcPr>
            <w:tcW w:type="dxa" w:w="20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Program Management</w:t>
            </w:r>
            <w:r>
              <w:rPr>
                <w:rFonts w:ascii="Arial" w:cs="Arial" w:eastAsia="Arial" w:hAnsi="Arial"/>
                <w:color w:val="2D2D2D"/>
                <w:sz w:val="20"/>
                <w:szCs w:val="20"/>
              </w:rPr>
              <w:t xml:space="preserve"/>
            </w:r>
          </w:p>
        </w:tc>
        <w:tc>
          <w:tcPr>
            <w:tcW w:type="dxa" w:w="32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Coordinates resource availability and capacity planning; integrates build into technology roadmap; manages sprint scheduling; connects Jira/ADO backlog to Git repository; tracks SLA adherence</w:t>
            </w:r>
          </w:p>
        </w:tc>
        <w:tc>
          <w:tcPr>
            <w:tcW w:type="dxa" w:w="18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Resource allocation; sprint scheduling</w:t>
            </w:r>
          </w:p>
        </w:tc>
        <w:tc>
          <w:tcPr>
            <w:tcW w:type="dxa" w:w="116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H / A</w:t>
            </w:r>
          </w:p>
        </w:tc>
        <w:tc>
          <w:tcPr>
            <w:tcW w:type="dxa" w:w="12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Technology</w:t>
            </w:r>
          </w:p>
        </w:tc>
      </w:tr>
      <w:tr>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Software Asset Manager</w:t>
            </w:r>
            <w:r>
              <w:rPr>
                <w:rFonts w:ascii="Arial" w:cs="Arial" w:eastAsia="Arial" w:hAnsi="Arial"/>
                <w:color w:val="2D2D2D"/>
                <w:sz w:val="20"/>
                <w:szCs w:val="20"/>
              </w:rPr>
              <w:t xml:space="preserve"/>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Maintains continuous Software Registry; coordinates CMDB, SAM tool, Git, and SaaS spend data ingestion; manages license inventory; provides registry query interface; detects shadow IT</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Software registry ownership; reuse certification</w:t>
            </w:r>
          </w:p>
        </w:tc>
        <w:tc>
          <w:tcPr>
            <w:tcW w:type="dxa" w:w="1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A / DA</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Asset Mgmt</w:t>
            </w:r>
          </w:p>
        </w:tc>
      </w:tr>
      <w:tr>
        <w:tc>
          <w:tcPr>
            <w:tcW w:type="dxa" w:w="20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Internal Audit</w:t>
            </w:r>
            <w:r>
              <w:rPr>
                <w:rFonts w:ascii="Arial" w:cs="Arial" w:eastAsia="Arial" w:hAnsi="Arial"/>
                <w:color w:val="2D2D2D"/>
                <w:sz w:val="20"/>
                <w:szCs w:val="20"/>
              </w:rPr>
              <w:t xml:space="preserve"/>
            </w:r>
          </w:p>
        </w:tc>
        <w:tc>
          <w:tcPr>
            <w:tcW w:type="dxa" w:w="32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Periodically reviews TPRM program, AI governance, and decision audit logs for SR 11-7 and OCC compliance; provides independent assurance to Board and regulators</w:t>
            </w:r>
          </w:p>
        </w:tc>
        <w:tc>
          <w:tcPr>
            <w:tcW w:type="dxa" w:w="18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Audit findings and control gap reporting</w:t>
            </w:r>
          </w:p>
        </w:tc>
        <w:tc>
          <w:tcPr>
            <w:tcW w:type="dxa" w:w="116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H</w:t>
            </w:r>
          </w:p>
        </w:tc>
        <w:tc>
          <w:tcPr>
            <w:tcW w:type="dxa" w:w="12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Audit</w:t>
            </w:r>
          </w:p>
        </w:tc>
      </w:tr>
      <w:tr>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Senior Executive Sponsor</w:t>
            </w:r>
            <w:r>
              <w:rPr>
                <w:rFonts w:ascii="Arial" w:cs="Arial" w:eastAsia="Arial" w:hAnsi="Arial"/>
                <w:color w:val="2D2D2D"/>
                <w:sz w:val="20"/>
                <w:szCs w:val="20"/>
              </w:rPr>
              <w:t xml:space="preserve"/>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Provides required sign-off for Tier 1 critical vendors, high-risk AI systems (Tier 1 MRM), and any RAE with escalated findings per OCC engagement best practice</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Executive approval for critical activities</w:t>
            </w:r>
          </w:p>
        </w:tc>
        <w:tc>
          <w:tcPr>
            <w:tcW w:type="dxa" w:w="1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H</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Governance</w:t>
            </w:r>
          </w:p>
        </w:tc>
      </w:tr>
      <w:tr>
        <w:tc>
          <w:tcPr>
            <w:tcW w:type="dxa" w:w="20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Routing Engine (Automated)</w:t>
            </w:r>
            <w:r>
              <w:rPr>
                <w:rFonts w:ascii="Arial" w:cs="Arial" w:eastAsia="Arial" w:hAnsi="Arial"/>
                <w:color w:val="2D2D2D"/>
                <w:sz w:val="20"/>
                <w:szCs w:val="20"/>
              </w:rPr>
              <w:t xml:space="preserve"/>
            </w:r>
          </w:p>
        </w:tc>
        <w:tc>
          <w:tcPr>
            <w:tcW w:type="dxa" w:w="32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Executes DMN-01 against structured intake data plus Software Registry results; computes composite score; assigns pathway; starts SLA clock</w:t>
            </w:r>
          </w:p>
        </w:tc>
        <w:tc>
          <w:tcPr>
            <w:tcW w:type="dxa" w:w="18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Deterministic pathway assignment</w:t>
            </w:r>
          </w:p>
        </w:tc>
        <w:tc>
          <w:tcPr>
            <w:tcW w:type="dxa" w:w="116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A</w:t>
            </w:r>
          </w:p>
        </w:tc>
        <w:tc>
          <w:tcPr>
            <w:tcW w:type="dxa" w:w="12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System</w:t>
            </w:r>
          </w:p>
        </w:tc>
      </w:tr>
      <w:tr>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Intake Bot (Automated)</w:t>
            </w:r>
            <w:r>
              <w:rPr>
                <w:rFonts w:ascii="Arial" w:cs="Arial" w:eastAsia="Arial" w:hAnsi="Arial"/>
                <w:color w:val="2D2D2D"/>
                <w:sz w:val="20"/>
                <w:szCs w:val="20"/>
              </w:rPr>
              <w:t xml:space="preserve"/>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Structured conversational elicitation; completeness enforcement; concurrent risk classification; PRD auto-generation; Jira/ADO push</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No decision authority—execution only</w:t>
            </w:r>
          </w:p>
        </w:tc>
        <w:tc>
          <w:tcPr>
            <w:tcW w:type="dxa" w:w="1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A / DA</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System</w:t>
            </w:r>
          </w:p>
        </w:tc>
      </w:tr>
      <w:tr>
        <w:tc>
          <w:tcPr>
            <w:tcW w:type="dxa" w:w="20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Knowledge Staging Agent (Automated)</w:t>
            </w:r>
            <w:r>
              <w:rPr>
                <w:rFonts w:ascii="Arial" w:cs="Arial" w:eastAsia="Arial" w:hAnsi="Arial"/>
                <w:color w:val="2D2D2D"/>
                <w:sz w:val="20"/>
                <w:szCs w:val="20"/>
              </w:rPr>
              <w:t xml:space="preserve"/>
            </w:r>
          </w:p>
        </w:tc>
        <w:tc>
          <w:tcPr>
            <w:tcW w:type="dxa" w:w="32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Captures validated knowledge outputs from each phase; stages them into deterministic knowledge bases; replaces manual follow-ups with structured retrieval</w:t>
            </w:r>
          </w:p>
        </w:tc>
        <w:tc>
          <w:tcPr>
            <w:tcW w:type="dxa" w:w="18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No decision authority—staging only</w:t>
            </w:r>
          </w:p>
        </w:tc>
        <w:tc>
          <w:tcPr>
            <w:tcW w:type="dxa" w:w="116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DA</w:t>
            </w:r>
          </w:p>
        </w:tc>
        <w:tc>
          <w:tcPr>
            <w:tcW w:type="dxa" w:w="12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System</w:t>
            </w:r>
          </w:p>
        </w:tc>
      </w:tr>
    </w:tbl>
    <w:p>
      <w:pPr>
        <w:spacing w:before="200"/>
      </w:pPr>
    </w:p>
    <w:p>
      <w:pPr>
        <w:pStyle w:val="Heading3"/>
        <w:spacing w:before="200" w:after="100"/>
      </w:pPr>
      <w:r>
        <w:rPr>
          <w:rFonts w:ascii="Arial" w:cs="Arial" w:eastAsia="Arial" w:hAnsi="Arial"/>
          <w:b/>
          <w:bCs/>
          <w:color w:val="3B7DD8"/>
          <w:sz w:val="24"/>
          <w:szCs w:val="24"/>
        </w:rPr>
        <w:t xml:space="preserve">4.1 Task Type Classification</w:t>
      </w:r>
    </w:p>
    <w:p>
      <w:pPr>
        <w:spacing w:after="120"/>
      </w:pPr>
      <w:r>
        <w:rPr>
          <w:rFonts w:ascii="Arial" w:cs="Arial" w:eastAsia="Arial" w:hAnsi="Arial"/>
          <w:color w:val="2D2D2D"/>
          <w:sz w:val="22"/>
          <w:szCs w:val="22"/>
        </w:rPr>
        <w:t xml:space="preserve">Every task within the BPMN workflow is explicitly classified using one of three designations: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800"/>
        <w:gridCol w:w="2560"/>
      </w:tblGrid>
      <w:tr>
        <w:tc>
          <w:tcPr>
            <w:tcW w:type="dxa" w:w="120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Designation</w:t>
            </w:r>
          </w:p>
        </w:tc>
        <w:tc>
          <w:tcPr>
            <w:tcW w:type="dxa" w:w="280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w:t>
            </w:r>
          </w:p>
        </w:tc>
        <w:tc>
          <w:tcPr>
            <w:tcW w:type="dxa" w:w="280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Governance Requirement</w:t>
            </w:r>
          </w:p>
        </w:tc>
        <w:tc>
          <w:tcPr>
            <w:tcW w:type="dxa" w:w="256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BPMN Representation</w:t>
            </w:r>
          </w:p>
        </w:tc>
      </w:tr>
      <w:tr>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A (Automated)</w:t>
            </w:r>
            <w:r>
              <w:rPr>
                <w:rFonts w:ascii="Arial" w:cs="Arial" w:eastAsia="Arial" w:hAnsi="Arial"/>
                <w:color w:val="2D2D2D"/>
                <w:sz w:val="20"/>
                <w:szCs w:val="20"/>
              </w:rPr>
              <w:t xml:space="preserve"/>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Fully automated execution with no human intervention. Inputs and outputs are deterministic.</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DMN rules govern logic. All inputs/outputs logged to decision audit trail. SLA timers enforced.</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Service Task or Business Rules Task</w:t>
            </w:r>
          </w:p>
        </w:tc>
      </w:tr>
      <w:tr>
        <w:tc>
          <w:tcPr>
            <w:tcW w:type="dxa" w:w="12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DA (Deterministic Agent-Enabled)</w:t>
            </w:r>
            <w:r>
              <w:rPr>
                <w:rFonts w:ascii="Arial" w:cs="Arial" w:eastAsia="Arial" w:hAnsi="Arial"/>
                <w:color w:val="2D2D2D"/>
                <w:sz w:val="20"/>
                <w:szCs w:val="20"/>
              </w:rPr>
              <w:t xml:space="preserve"/>
            </w:r>
          </w:p>
        </w:tc>
        <w:tc>
          <w:tcPr>
            <w:tcW w:type="dxa" w:w="28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Agent executes using deterministic knowledge bases and DMN rules. Outputs are reproducible. Decision provenance is logged.</w:t>
            </w:r>
          </w:p>
        </w:tc>
        <w:tc>
          <w:tcPr>
            <w:tcW w:type="dxa" w:w="28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Agent outputs must be deterministic and reproducible. Knowledge base version logged. Decision provenance captured.</w:t>
            </w:r>
          </w:p>
        </w:tc>
        <w:tc>
          <w:tcPr>
            <w:tcW w:type="dxa" w:w="256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Service Task with agent annotation</w:t>
            </w:r>
          </w:p>
        </w:tc>
      </w:tr>
      <w:tr>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H (Human-in-the-Loop)</w:t>
            </w:r>
            <w:r>
              <w:rPr>
                <w:rFonts w:ascii="Arial" w:cs="Arial" w:eastAsia="Arial" w:hAnsi="Arial"/>
                <w:color w:val="2D2D2D"/>
                <w:sz w:val="20"/>
                <w:szCs w:val="20"/>
              </w:rPr>
              <w:t xml:space="preserve"/>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Human judgment required. May be informed by agent analysis, but the human makes the decision and is accountable.</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Human reviewer role logged (not personal identity). Override rationale captured (minimum 50 characters). SLA clock enforced.</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User Task with role-based assignment</w:t>
            </w:r>
          </w:p>
        </w:tc>
      </w:tr>
    </w:tbl>
    <w:p>
      <w:r>
        <w:br w:type="page"/>
      </w:r>
    </w:p>
    <w:p>
      <w:pPr>
        <w:pStyle w:val="Heading1"/>
      </w:pPr>
      <w:r>
        <w:rPr>
          <w:rFonts w:ascii="Arial" w:cs="Arial" w:eastAsia="Arial" w:hAnsi="Arial"/>
          <w:b/>
          <w:bCs/>
          <w:color w:val="1B3A5C"/>
          <w:sz w:val="36"/>
          <w:szCs w:val="36"/>
        </w:rPr>
        <w:t xml:space="preserve">5. Process Overview: End-to-End BPMN Master Process</w:t>
      </w:r>
    </w:p>
    <w:p>
      <w:pPr>
        <w:spacing w:after="120"/>
      </w:pPr>
      <w:r>
        <w:rPr>
          <w:rFonts w:ascii="Arial" w:cs="Arial" w:eastAsia="Arial" w:hAnsi="Arial"/>
          <w:color w:val="2D2D2D"/>
          <w:sz w:val="22"/>
          <w:szCs w:val="22"/>
        </w:rPr>
        <w:t xml:space="preserve">The framework comprises seven phases organized as a single master BPMN process with defined sub-processes, governed by DMN decision tables, and with explicit SLAs and timing rules. Phases 0 through 2 are primarily automated and execute in parallel or near-real-time. Phases 3 through 6 introduce structured human oversight calibrated to the risk tier and pathway determined in Phase 2.</w:t>
      </w:r>
    </w:p>
    <w:p>
      <w:pPr>
        <w:pStyle w:val="Heading2"/>
        <w:spacing w:before="300" w:after="120"/>
      </w:pPr>
      <w:r>
        <w:rPr>
          <w:rFonts w:ascii="Arial" w:cs="Arial" w:eastAsia="Arial" w:hAnsi="Arial"/>
          <w:b/>
          <w:bCs/>
          <w:color w:val="2C5F8A"/>
          <w:sz w:val="28"/>
          <w:szCs w:val="28"/>
        </w:rPr>
        <w:t xml:space="preserve">5.1 Seven-Phase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2000"/>
        <w:gridCol w:w="2160"/>
      </w:tblGrid>
      <w:tr>
        <w:tc>
          <w:tcPr>
            <w:tcW w:type="dxa" w:w="120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400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00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Task Types</w:t>
            </w:r>
          </w:p>
        </w:tc>
        <w:tc>
          <w:tcPr>
            <w:tcW w:type="dxa" w:w="216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DMN Tables</w:t>
            </w:r>
          </w:p>
        </w:tc>
      </w:tr>
      <w:tr>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Phase 0</w:t>
            </w:r>
            <w:r>
              <w:rPr>
                <w:rFonts w:ascii="Arial" w:cs="Arial" w:eastAsia="Arial" w:hAnsi="Arial"/>
                <w:color w:val="2D2D2D"/>
                <w:sz w:val="20"/>
                <w:szCs w:val="20"/>
              </w:rPr>
              <w:t xml:space="preserve"/>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Continuous Software Asset Intelligence.</w:t>
            </w:r>
            <w:r>
              <w:rPr>
                <w:rFonts w:ascii="Arial" w:cs="Arial" w:eastAsia="Arial" w:hAnsi="Arial"/>
                <w:color w:val="2D2D2D"/>
                <w:sz w:val="20"/>
                <w:szCs w:val="20"/>
              </w:rPr>
              <w:t xml:space="preserve"> Always-on. Maintains the live Software Registry. Perpetual background process.</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A / DA</w:t>
            </w:r>
          </w:p>
        </w:tc>
        <w:tc>
          <w:tcPr>
            <w:tcW w:type="dxa" w:w="2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w:t>
            </w:r>
          </w:p>
        </w:tc>
      </w:tr>
      <w:tr>
        <w:tc>
          <w:tcPr>
            <w:tcW w:type="dxa" w:w="12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Phase 1</w:t>
            </w:r>
            <w:r>
              <w:rPr>
                <w:rFonts w:ascii="Arial" w:cs="Arial" w:eastAsia="Arial" w:hAnsi="Arial"/>
                <w:color w:val="2D2D2D"/>
                <w:sz w:val="20"/>
                <w:szCs w:val="20"/>
              </w:rPr>
              <w:t xml:space="preserve"/>
            </w:r>
          </w:p>
        </w:tc>
        <w:tc>
          <w:tcPr>
            <w:tcW w:type="dxa" w:w="40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Conversational AI Intake and Concurrent Risk Classification.</w:t>
            </w:r>
            <w:r>
              <w:rPr>
                <w:rFonts w:ascii="Arial" w:cs="Arial" w:eastAsia="Arial" w:hAnsi="Arial"/>
                <w:color w:val="2D2D2D"/>
                <w:sz w:val="20"/>
                <w:szCs w:val="20"/>
              </w:rPr>
              <w:t xml:space="preserve"> Structured elicitation by bot; simultaneous 5-dimension risk assessment; PRD auto-generation; Jira/ADO story push. </w:t>
            </w:r>
            <w:r>
              <w:rPr>
                <w:rFonts w:ascii="Arial" w:cs="Arial" w:eastAsia="Arial" w:hAnsi="Arial"/>
                <w:b/>
                <w:bCs/>
                <w:color w:val="2D2D2D"/>
                <w:sz w:val="20"/>
                <w:szCs w:val="20"/>
              </w:rPr>
              <w:t xml:space="preserve">Mandatory capability reuse gate fires here.</w:t>
            </w:r>
            <w:r>
              <w:rPr>
                <w:rFonts w:ascii="Arial" w:cs="Arial" w:eastAsia="Arial" w:hAnsi="Arial"/>
                <w:color w:val="2D2D2D"/>
                <w:sz w:val="20"/>
                <w:szCs w:val="20"/>
              </w:rPr>
              <w:t xml:space="preserve"/>
            </w:r>
          </w:p>
        </w:tc>
        <w:tc>
          <w:tcPr>
            <w:tcW w:type="dxa" w:w="20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A / DA / H</w:t>
            </w:r>
          </w:p>
        </w:tc>
        <w:tc>
          <w:tcPr>
            <w:tcW w:type="dxa" w:w="216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DMN-09, DMN-15</w:t>
            </w:r>
          </w:p>
        </w:tc>
      </w:tr>
      <w:tr>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Phase 2</w:t>
            </w:r>
            <w:r>
              <w:rPr>
                <w:rFonts w:ascii="Arial" w:cs="Arial" w:eastAsia="Arial" w:hAnsi="Arial"/>
                <w:color w:val="2D2D2D"/>
                <w:sz w:val="20"/>
                <w:szCs w:val="20"/>
              </w:rPr>
              <w:t xml:space="preserve"/>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AI Routing Engine and Pathway Assignment.</w:t>
            </w:r>
            <w:r>
              <w:rPr>
                <w:rFonts w:ascii="Arial" w:cs="Arial" w:eastAsia="Arial" w:hAnsi="Arial"/>
                <w:color w:val="2D2D2D"/>
                <w:sz w:val="20"/>
                <w:szCs w:val="20"/>
              </w:rPr>
              <w:t xml:space="preserve"> DMN-01 fires against structured data plus Registry results; composite score computed; pathway assigned; SLA clock started.</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A</w:t>
            </w:r>
          </w:p>
        </w:tc>
        <w:tc>
          <w:tcPr>
            <w:tcW w:type="dxa" w:w="2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DMN-01, DMN-13</w:t>
            </w:r>
          </w:p>
        </w:tc>
      </w:tr>
      <w:tr>
        <w:tc>
          <w:tcPr>
            <w:tcW w:type="dxa" w:w="12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Phase 3</w:t>
            </w:r>
            <w:r>
              <w:rPr>
                <w:rFonts w:ascii="Arial" w:cs="Arial" w:eastAsia="Arial" w:hAnsi="Arial"/>
                <w:color w:val="2D2D2D"/>
                <w:sz w:val="20"/>
                <w:szCs w:val="20"/>
              </w:rPr>
              <w:t xml:space="preserve"/>
            </w:r>
          </w:p>
        </w:tc>
        <w:tc>
          <w:tcPr>
            <w:tcW w:type="dxa" w:w="40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Product Management Review, Enrichment, and Portfolio Governance.</w:t>
            </w:r>
            <w:r>
              <w:rPr>
                <w:rFonts w:ascii="Arial" w:cs="Arial" w:eastAsia="Arial" w:hAnsi="Arial"/>
                <w:color w:val="2D2D2D"/>
                <w:sz w:val="20"/>
                <w:szCs w:val="20"/>
              </w:rPr>
              <w:t xml:space="preserve"> Product Owner validates, enriches, deduplicates; compliance and risk validation performed early.</w:t>
            </w:r>
          </w:p>
        </w:tc>
        <w:tc>
          <w:tcPr>
            <w:tcW w:type="dxa" w:w="20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H / DA</w:t>
            </w:r>
          </w:p>
        </w:tc>
        <w:tc>
          <w:tcPr>
            <w:tcW w:type="dxa" w:w="216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DMN-02, DMN-03</w:t>
            </w:r>
          </w:p>
        </w:tc>
      </w:tr>
      <w:tr>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Phase 4</w:t>
            </w:r>
            <w:r>
              <w:rPr>
                <w:rFonts w:ascii="Arial" w:cs="Arial" w:eastAsia="Arial" w:hAnsi="Arial"/>
                <w:color w:val="2D2D2D"/>
                <w:sz w:val="20"/>
                <w:szCs w:val="20"/>
              </w:rPr>
              <w:t xml:space="preserve"/>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Portfolio Prioritization, Go/No-Go, and Strategic Alignment.</w:t>
            </w:r>
            <w:r>
              <w:rPr>
                <w:rFonts w:ascii="Arial" w:cs="Arial" w:eastAsia="Arial" w:hAnsi="Arial"/>
                <w:color w:val="2D2D2D"/>
                <w:sz w:val="20"/>
                <w:szCs w:val="20"/>
              </w:rPr>
              <w:t xml:space="preserve"> Portfolio Governance Council reviews DMN outputs; retains human override authority.</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H</w:t>
            </w:r>
          </w:p>
        </w:tc>
        <w:tc>
          <w:tcPr>
            <w:tcW w:type="dxa" w:w="2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DMN-04, DMN-05</w:t>
            </w:r>
          </w:p>
        </w:tc>
      </w:tr>
      <w:tr>
        <w:tc>
          <w:tcPr>
            <w:tcW w:type="dxa" w:w="12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Phase 5A</w:t>
            </w:r>
            <w:r>
              <w:rPr>
                <w:rFonts w:ascii="Arial" w:cs="Arial" w:eastAsia="Arial" w:hAnsi="Arial"/>
                <w:color w:val="2D2D2D"/>
                <w:sz w:val="20"/>
                <w:szCs w:val="20"/>
              </w:rPr>
              <w:t xml:space="preserve"/>
            </w:r>
          </w:p>
        </w:tc>
        <w:tc>
          <w:tcPr>
            <w:tcW w:type="dxa" w:w="40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Product Development Life Cycle (Build Pathway).</w:t>
            </w:r>
            <w:r>
              <w:rPr>
                <w:rFonts w:ascii="Arial" w:cs="Arial" w:eastAsia="Arial" w:hAnsi="Arial"/>
                <w:color w:val="2D2D2D"/>
                <w:sz w:val="20"/>
                <w:szCs w:val="20"/>
              </w:rPr>
              <w:t xml:space="preserve"> Risk evaluation, HLDD, observability design, PoC, Technology and Risk gate, AI Governance, UAT, Go-to-Market.</w:t>
            </w:r>
          </w:p>
        </w:tc>
        <w:tc>
          <w:tcPr>
            <w:tcW w:type="dxa" w:w="20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H / A / DA</w:t>
            </w:r>
          </w:p>
        </w:tc>
        <w:tc>
          <w:tcPr>
            <w:tcW w:type="dxa" w:w="216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DMN-10, DMN-11, DMN-12</w:t>
            </w:r>
          </w:p>
        </w:tc>
      </w:tr>
      <w:tr>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Phase 5B</w:t>
            </w:r>
            <w:r>
              <w:rPr>
                <w:rFonts w:ascii="Arial" w:cs="Arial" w:eastAsia="Arial" w:hAnsi="Arial"/>
                <w:color w:val="2D2D2D"/>
                <w:sz w:val="20"/>
                <w:szCs w:val="20"/>
              </w:rPr>
              <w:t xml:space="preserve"/>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Full TPRM-Integrated Procurement (Buy Pathway).</w:t>
            </w:r>
            <w:r>
              <w:rPr>
                <w:rFonts w:ascii="Arial" w:cs="Arial" w:eastAsia="Arial" w:hAnsi="Arial"/>
                <w:color w:val="2D2D2D"/>
                <w:sz w:val="20"/>
                <w:szCs w:val="20"/>
              </w:rPr>
              <w:t xml:space="preserve"> Vendor risk tiering, RFP via Legal KG, sourcing event, RAE, contracting, vendor enablement, ongoing monitoring.</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H / A / DA</w:t>
            </w:r>
          </w:p>
        </w:tc>
        <w:tc>
          <w:tcPr>
            <w:tcW w:type="dxa" w:w="2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DMN-06–DMN-08, DMN-14</w:t>
            </w:r>
          </w:p>
        </w:tc>
      </w:tr>
      <w:tr>
        <w:tc>
          <w:tcPr>
            <w:tcW w:type="dxa" w:w="12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Phase 6</w:t>
            </w:r>
            <w:r>
              <w:rPr>
                <w:rFonts w:ascii="Arial" w:cs="Arial" w:eastAsia="Arial" w:hAnsi="Arial"/>
                <w:color w:val="2D2D2D"/>
                <w:sz w:val="20"/>
                <w:szCs w:val="20"/>
              </w:rPr>
              <w:t xml:space="preserve"/>
            </w:r>
          </w:p>
        </w:tc>
        <w:tc>
          <w:tcPr>
            <w:tcW w:type="dxa" w:w="40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Post-Deployment Observability, Telemetry, and Audit Governance.</w:t>
            </w:r>
            <w:r>
              <w:rPr>
                <w:rFonts w:ascii="Arial" w:cs="Arial" w:eastAsia="Arial" w:hAnsi="Arial"/>
                <w:color w:val="2D2D2D"/>
                <w:sz w:val="20"/>
                <w:szCs w:val="20"/>
              </w:rPr>
              <w:t xml:space="preserve"> Immutable audit events; model drift and bias monitoring; regulatory reporting.</w:t>
            </w:r>
          </w:p>
        </w:tc>
        <w:tc>
          <w:tcPr>
            <w:tcW w:type="dxa" w:w="20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A / DA / H</w:t>
            </w:r>
          </w:p>
        </w:tc>
        <w:tc>
          <w:tcPr>
            <w:tcW w:type="dxa" w:w="216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DMN-12</w:t>
            </w:r>
          </w:p>
        </w:tc>
      </w:tr>
    </w:tbl>
    <w:p>
      <w:pPr>
        <w:pStyle w:val="Heading2"/>
        <w:spacing w:before="300" w:after="120"/>
      </w:pPr>
      <w:r>
        <w:rPr>
          <w:rFonts w:ascii="Arial" w:cs="Arial" w:eastAsia="Arial" w:hAnsi="Arial"/>
          <w:b/>
          <w:bCs/>
          <w:color w:val="2C5F8A"/>
          <w:sz w:val="28"/>
          <w:szCs w:val="28"/>
        </w:rPr>
        <w:t xml:space="preserve">5.2 BPMN Swim Lanes</w:t>
      </w:r>
    </w:p>
    <w:p>
      <w:pPr>
        <w:spacing w:after="120"/>
      </w:pPr>
      <w:r>
        <w:rPr>
          <w:rFonts w:ascii="Arial" w:cs="Arial" w:eastAsia="Arial" w:hAnsi="Arial"/>
          <w:color w:val="2D2D2D"/>
          <w:sz w:val="22"/>
          <w:szCs w:val="22"/>
        </w:rPr>
        <w:t xml:space="preserve">Each swim lane corresponds to a functional role grouping. All tasks within a lane are assigned to the role(s) defined in Section 4. The swim lane structure enables clear accountability and supports executable BPMN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800"/>
        <w:gridCol w:w="2760"/>
      </w:tblGrid>
      <w:tr>
        <w:tc>
          <w:tcPr>
            <w:tcW w:type="dxa" w:w="180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Swim Lane</w:t>
            </w:r>
          </w:p>
        </w:tc>
        <w:tc>
          <w:tcPr>
            <w:tcW w:type="dxa" w:w="200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Primary Phases</w:t>
            </w:r>
          </w:p>
        </w:tc>
        <w:tc>
          <w:tcPr>
            <w:tcW w:type="dxa" w:w="280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Roles Assigned</w:t>
            </w:r>
          </w:p>
        </w:tc>
        <w:tc>
          <w:tcPr>
            <w:tcW w:type="dxa" w:w="276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Key Functions</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Requestor</w:t>
            </w:r>
            <w:r>
              <w:rPr>
                <w:rFonts w:ascii="Arial" w:cs="Arial" w:eastAsia="Arial" w:hAnsi="Arial"/>
                <w:color w:val="2D2D2D"/>
                <w:sz w:val="20"/>
                <w:szCs w:val="20"/>
              </w:rPr>
              <w:t xml:space="preserve"/>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Phase 0 (consumer), Phase 1</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Business Requestor</w:t>
            </w:r>
          </w:p>
        </w:tc>
        <w:tc>
          <w:tcPr>
            <w:tcW w:type="dxa" w:w="27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Identifies gap; completes intake; monitors status; participates in UAT</w:t>
            </w:r>
          </w:p>
        </w:tc>
      </w:tr>
      <w:tr>
        <w:tc>
          <w:tcPr>
            <w:tcW w:type="dxa" w:w="18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Product Management</w:t>
            </w:r>
            <w:r>
              <w:rPr>
                <w:rFonts w:ascii="Arial" w:cs="Arial" w:eastAsia="Arial" w:hAnsi="Arial"/>
                <w:color w:val="2D2D2D"/>
                <w:sz w:val="20"/>
                <w:szCs w:val="20"/>
              </w:rPr>
              <w:t xml:space="preserve"/>
            </w:r>
          </w:p>
        </w:tc>
        <w:tc>
          <w:tcPr>
            <w:tcW w:type="dxa" w:w="20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Phases 1–4</w:t>
            </w:r>
          </w:p>
        </w:tc>
        <w:tc>
          <w:tcPr>
            <w:tcW w:type="dxa" w:w="28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Product Owner, Intake Bot</w:t>
            </w:r>
          </w:p>
        </w:tc>
        <w:tc>
          <w:tcPr>
            <w:tcW w:type="dxa" w:w="276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PRD ownership; portfolio governance; backlog management</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Governance</w:t>
            </w:r>
            <w:r>
              <w:rPr>
                <w:rFonts w:ascii="Arial" w:cs="Arial" w:eastAsia="Arial" w:hAnsi="Arial"/>
                <w:color w:val="2D2D2D"/>
                <w:sz w:val="20"/>
                <w:szCs w:val="20"/>
              </w:rPr>
              <w:t xml:space="preserve"/>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Phases 3–4</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Portfolio Governance Council, Senior Executive Sponsor</w:t>
            </w:r>
          </w:p>
        </w:tc>
        <w:tc>
          <w:tcPr>
            <w:tcW w:type="dxa" w:w="27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Go/No-Go; Buy/Build; budget release; strategic sequencing</w:t>
            </w:r>
          </w:p>
        </w:tc>
      </w:tr>
      <w:tr>
        <w:tc>
          <w:tcPr>
            <w:tcW w:type="dxa" w:w="18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Technology</w:t>
            </w:r>
            <w:r>
              <w:rPr>
                <w:rFonts w:ascii="Arial" w:cs="Arial" w:eastAsia="Arial" w:hAnsi="Arial"/>
                <w:color w:val="2D2D2D"/>
                <w:sz w:val="20"/>
                <w:szCs w:val="20"/>
              </w:rPr>
              <w:t xml:space="preserve"/>
            </w:r>
          </w:p>
        </w:tc>
        <w:tc>
          <w:tcPr>
            <w:tcW w:type="dxa" w:w="20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Phase 5A</w:t>
            </w:r>
          </w:p>
        </w:tc>
        <w:tc>
          <w:tcPr>
            <w:tcW w:type="dxa" w:w="28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Enterprise Architect, Cybersecurity Lead, Program Management</w:t>
            </w:r>
          </w:p>
        </w:tc>
        <w:tc>
          <w:tcPr>
            <w:tcW w:type="dxa" w:w="276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Requirements; design; PoC; development; testing; release</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Procurement and TPRM</w:t>
            </w:r>
            <w:r>
              <w:rPr>
                <w:rFonts w:ascii="Arial" w:cs="Arial" w:eastAsia="Arial" w:hAnsi="Arial"/>
                <w:color w:val="2D2D2D"/>
                <w:sz w:val="20"/>
                <w:szCs w:val="20"/>
              </w:rPr>
              <w:t xml:space="preserve"/>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Phase 5B</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Procurement Lead, Third-Party Risk Manager, Legal Counsel</w:t>
            </w:r>
          </w:p>
        </w:tc>
        <w:tc>
          <w:tcPr>
            <w:tcW w:type="dxa" w:w="27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Vendor sourcing; TPRM lifecycle; legal contracting; finance confirmation</w:t>
            </w:r>
          </w:p>
        </w:tc>
      </w:tr>
      <w:tr>
        <w:tc>
          <w:tcPr>
            <w:tcW w:type="dxa" w:w="18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Risk and Compliance</w:t>
            </w:r>
            <w:r>
              <w:rPr>
                <w:rFonts w:ascii="Arial" w:cs="Arial" w:eastAsia="Arial" w:hAnsi="Arial"/>
                <w:color w:val="2D2D2D"/>
                <w:sz w:val="20"/>
                <w:szCs w:val="20"/>
              </w:rPr>
              <w:t xml:space="preserve"/>
            </w:r>
          </w:p>
        </w:tc>
        <w:tc>
          <w:tcPr>
            <w:tcW w:type="dxa" w:w="20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Phases 1–6</w:t>
            </w:r>
          </w:p>
        </w:tc>
        <w:tc>
          <w:tcPr>
            <w:tcW w:type="dxa" w:w="28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AI/Model Risk Governance, Compliance Governance, Finance Controller</w:t>
            </w:r>
          </w:p>
        </w:tc>
        <w:tc>
          <w:tcPr>
            <w:tcW w:type="dxa" w:w="276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Risk classification; compliance validation; funding confirmation</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Asset Management</w:t>
            </w:r>
            <w:r>
              <w:rPr>
                <w:rFonts w:ascii="Arial" w:cs="Arial" w:eastAsia="Arial" w:hAnsi="Arial"/>
                <w:color w:val="2D2D2D"/>
                <w:sz w:val="20"/>
                <w:szCs w:val="20"/>
              </w:rPr>
              <w:t xml:space="preserve"/>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Phase 0, all phases</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Software Asset Manager, Knowledge Staging Agent</w:t>
            </w:r>
          </w:p>
        </w:tc>
        <w:tc>
          <w:tcPr>
            <w:tcW w:type="dxa" w:w="27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Registry maintenance; reuse certification; knowledge staging</w:t>
            </w:r>
          </w:p>
        </w:tc>
      </w:tr>
      <w:tr>
        <w:tc>
          <w:tcPr>
            <w:tcW w:type="dxa" w:w="18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System (Automated)</w:t>
            </w:r>
            <w:r>
              <w:rPr>
                <w:rFonts w:ascii="Arial" w:cs="Arial" w:eastAsia="Arial" w:hAnsi="Arial"/>
                <w:color w:val="2D2D2D"/>
                <w:sz w:val="20"/>
                <w:szCs w:val="20"/>
              </w:rPr>
              <w:t xml:space="preserve"/>
            </w:r>
          </w:p>
        </w:tc>
        <w:tc>
          <w:tcPr>
            <w:tcW w:type="dxa" w:w="20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Phases 0–2, 6</w:t>
            </w:r>
          </w:p>
        </w:tc>
        <w:tc>
          <w:tcPr>
            <w:tcW w:type="dxa" w:w="28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Routing Engine, Intake Bot, Knowledge Staging Agent</w:t>
            </w:r>
          </w:p>
        </w:tc>
        <w:tc>
          <w:tcPr>
            <w:tcW w:type="dxa" w:w="276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Automated execution; DMN rule invocation; SLA enforcement; audit logging</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Audit</w:t>
            </w:r>
            <w:r>
              <w:rPr>
                <w:rFonts w:ascii="Arial" w:cs="Arial" w:eastAsia="Arial" w:hAnsi="Arial"/>
                <w:color w:val="2D2D2D"/>
                <w:sz w:val="20"/>
                <w:szCs w:val="20"/>
              </w:rPr>
              <w:t xml:space="preserve"/>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Phase 6</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Internal Audit</w:t>
            </w:r>
          </w:p>
        </w:tc>
        <w:tc>
          <w:tcPr>
            <w:tcW w:type="dxa" w:w="27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Independent assurance; control gap reporting; regulatory exam readiness</w:t>
            </w:r>
          </w:p>
        </w:tc>
      </w:tr>
    </w:tbl>
    <w:p>
      <w:pPr>
        <w:pStyle w:val="Heading2"/>
        <w:spacing w:before="300" w:after="120"/>
      </w:pPr>
      <w:r>
        <w:rPr>
          <w:rFonts w:ascii="Arial" w:cs="Arial" w:eastAsia="Arial" w:hAnsi="Arial"/>
          <w:b/>
          <w:bCs/>
          <w:color w:val="2C5F8A"/>
          <w:sz w:val="28"/>
          <w:szCs w:val="28"/>
        </w:rPr>
        <w:t xml:space="preserve">5.3 Pathway Decision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560"/>
        <w:gridCol w:w="2800"/>
      </w:tblGrid>
      <w:tr>
        <w:tc>
          <w:tcPr>
            <w:tcW w:type="dxa" w:w="140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Pathway</w:t>
            </w:r>
          </w:p>
        </w:tc>
        <w:tc>
          <w:tcPr>
            <w:tcW w:type="dxa" w:w="260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Trigger Condition</w:t>
            </w:r>
          </w:p>
        </w:tc>
        <w:tc>
          <w:tcPr>
            <w:tcW w:type="dxa" w:w="256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 Sequence</w:t>
            </w:r>
          </w:p>
        </w:tc>
        <w:tc>
          <w:tcPr>
            <w:tcW w:type="dxa" w:w="280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Typical Cycle Time</w:t>
            </w:r>
          </w:p>
        </w:tc>
      </w:tr>
      <w:tr>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Fast-track</w:t>
            </w:r>
            <w:r>
              <w:rPr>
                <w:rFonts w:ascii="Arial" w:cs="Arial" w:eastAsia="Arial" w:hAnsi="Arial"/>
                <w:color w:val="2D2D2D"/>
                <w:sz w:val="20"/>
                <w:szCs w:val="20"/>
              </w:rPr>
              <w:t xml:space="preserve"/>
            </w:r>
          </w:p>
        </w:tc>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Internal use; no AI; pre-approved vendor or existing license; low risk; non-production or non-sensitive</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P0 → P1 → P2 → abbreviated P3 → ITSM fulfillment</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1–5 business days</w:t>
            </w:r>
          </w:p>
        </w:tc>
      </w:tr>
      <w:tr>
        <w:tc>
          <w:tcPr>
            <w:tcW w:type="dxa" w:w="14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Build</w:t>
            </w:r>
            <w:r>
              <w:rPr>
                <w:rFonts w:ascii="Arial" w:cs="Arial" w:eastAsia="Arial" w:hAnsi="Arial"/>
                <w:color w:val="2D2D2D"/>
                <w:sz w:val="20"/>
                <w:szCs w:val="20"/>
              </w:rPr>
              <w:t xml:space="preserve"/>
            </w:r>
          </w:p>
        </w:tc>
        <w:tc>
          <w:tcPr>
            <w:tcW w:type="dxa" w:w="26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Net-new internal development; no viable commercial solution; or IP/differentiation justifies internal build</w:t>
            </w:r>
          </w:p>
        </w:tc>
        <w:tc>
          <w:tcPr>
            <w:tcW w:type="dxa" w:w="256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P0 → P1 → P2 → P3 → P4 → P5A → P6</w:t>
            </w:r>
          </w:p>
        </w:tc>
        <w:tc>
          <w:tcPr>
            <w:tcW w:type="dxa" w:w="28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8–26 weeks</w:t>
            </w:r>
          </w:p>
        </w:tc>
      </w:tr>
      <w:tr>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Buy</w:t>
            </w:r>
            <w:r>
              <w:rPr>
                <w:rFonts w:ascii="Arial" w:cs="Arial" w:eastAsia="Arial" w:hAnsi="Arial"/>
                <w:color w:val="2D2D2D"/>
                <w:sz w:val="20"/>
                <w:szCs w:val="20"/>
              </w:rPr>
              <w:t xml:space="preserve"/>
            </w:r>
          </w:p>
        </w:tc>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Commercial solution identified; vendor not yet contracted; standard procurement required</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P0 → P1 → P2 → P3 → P4 → P5B → P6</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6–16 weeks</w:t>
            </w:r>
          </w:p>
        </w:tc>
      </w:tr>
      <w:tr>
        <w:tc>
          <w:tcPr>
            <w:tcW w:type="dxa" w:w="14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Hybrid</w:t>
            </w:r>
            <w:r>
              <w:rPr>
                <w:rFonts w:ascii="Arial" w:cs="Arial" w:eastAsia="Arial" w:hAnsi="Arial"/>
                <w:color w:val="2D2D2D"/>
                <w:sz w:val="20"/>
                <w:szCs w:val="20"/>
              </w:rPr>
              <w:t xml:space="preserve"/>
            </w:r>
          </w:p>
        </w:tc>
        <w:tc>
          <w:tcPr>
            <w:tcW w:type="dxa" w:w="26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Buy commercial core; build proprietary extension or integration layer</w:t>
            </w:r>
          </w:p>
        </w:tc>
        <w:tc>
          <w:tcPr>
            <w:tcW w:type="dxa" w:w="256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P0 → P1 → P2 → P3 → P4 → P5A + P5B (parallel) → P6</w:t>
            </w:r>
          </w:p>
        </w:tc>
        <w:tc>
          <w:tcPr>
            <w:tcW w:type="dxa" w:w="28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10–20 weeks</w:t>
            </w:r>
          </w:p>
        </w:tc>
      </w:tr>
    </w:tbl>
    <w:p>
      <w:r>
        <w:br w:type="page"/>
      </w:r>
    </w:p>
    <w:p>
      <w:pPr>
        <w:pStyle w:val="Heading1"/>
      </w:pPr>
      <w:r>
        <w:rPr>
          <w:rFonts w:ascii="Arial" w:cs="Arial" w:eastAsia="Arial" w:hAnsi="Arial"/>
          <w:b/>
          <w:bCs/>
          <w:color w:val="1B3A5C"/>
          <w:sz w:val="36"/>
          <w:szCs w:val="36"/>
        </w:rPr>
        <w:t xml:space="preserve">6. Phase 0: Continuous Software Asset Intelligence</w:t>
      </w:r>
    </w:p>
    <w:p>
      <w:pPr>
        <w:pBdr>
          <w:bottom w:val="single" w:color="1B3A5C" w:sz="6"/>
        </w:pBdr>
        <w:spacing w:before="300"/>
      </w:pPr>
    </w:p>
    <w:p>
      <w:pPr>
        <w:shd w:fill="1B3A5C" w:val="clear"/>
        <w:spacing w:before="120" w:after="60"/>
        <w:ind w:left="120" w:right="120"/>
      </w:pPr>
      <w:r>
        <w:rPr>
          <w:rFonts w:ascii="Arial" w:cs="Arial" w:eastAsia="Arial" w:hAnsi="Arial"/>
          <w:b/>
          <w:bCs/>
          <w:color w:val="FFFFFF"/>
          <w:sz w:val="24"/>
          <w:szCs w:val="24"/>
        </w:rPr>
        <w:t xml:space="preserve">P0  </w:t>
      </w:r>
      <w:r>
        <w:rPr>
          <w:rFonts w:ascii="Arial" w:cs="Arial" w:eastAsia="Arial" w:hAnsi="Arial"/>
          <w:b/>
          <w:bCs/>
          <w:color w:val="FFFFFF"/>
          <w:sz w:val="24"/>
          <w:szCs w:val="24"/>
        </w:rPr>
        <w:t xml:space="preserve">Continuous Software Asset Intelligence</w:t>
      </w:r>
    </w:p>
    <w:p>
      <w:pPr>
        <w:shd w:fill="E8F4FD" w:val="clear"/>
        <w:spacing w:after="200"/>
        <w:ind w:left="120" w:right="120"/>
      </w:pPr>
      <w:r>
        <w:rPr>
          <w:rFonts w:ascii="Arial" w:cs="Arial" w:eastAsia="Arial" w:hAnsi="Arial"/>
          <w:i/>
          <w:iCs/>
          <w:color w:val="2D2D2D"/>
          <w:sz w:val="20"/>
          <w:szCs w:val="20"/>
        </w:rPr>
        <w:t xml:space="preserve">Always-on. Feeds every subsequent phase. The foundation of non-duplicative, reuse-first governance.</w:t>
      </w:r>
    </w:p>
    <w:p>
      <w:pPr>
        <w:pStyle w:val="Heading2"/>
        <w:spacing w:before="300" w:after="120"/>
      </w:pPr>
      <w:r>
        <w:rPr>
          <w:rFonts w:ascii="Arial" w:cs="Arial" w:eastAsia="Arial" w:hAnsi="Arial"/>
          <w:b/>
          <w:bCs/>
          <w:color w:val="2C5F8A"/>
          <w:sz w:val="28"/>
          <w:szCs w:val="28"/>
        </w:rPr>
        <w:t xml:space="preserve">6.1 Purpose and Strategic Rationale</w:t>
      </w:r>
    </w:p>
    <w:p>
      <w:pPr>
        <w:spacing w:after="120"/>
      </w:pPr>
      <w:r>
        <w:rPr>
          <w:rFonts w:ascii="Arial" w:cs="Arial" w:eastAsia="Arial" w:hAnsi="Arial"/>
          <w:color w:val="2D2D2D"/>
          <w:sz w:val="22"/>
          <w:szCs w:val="22"/>
        </w:rPr>
        <w:t xml:space="preserve">A persistent failure in traditional software governance is the absence of a continuously-maintained, authoritative record of what technology the institution already owns, contracts for, or is building. Without this foundation, duplicate procurement is routine, reuse opportunities are invisible, shadow IT proliferates, and the existing solution check at intake is either unreliable or skipped entirely. Phase 0 eliminates this failure mode by establishing the Software Registry as a federated, continuously-updated institutional knowledge base.</w:t>
      </w:r>
    </w:p>
    <w:p>
      <w:pPr>
        <w:pBdr>
          <w:left w:val="single" w:color="0D7377" w:sz="12" w:space="8"/>
        </w:pBdr>
        <w:shd w:fill="E8F5E9" w:val="clear"/>
        <w:spacing w:before="160" w:after="160"/>
        <w:ind w:left="240" w:right="240"/>
      </w:pPr>
      <w:r>
        <w:rPr>
          <w:rFonts w:ascii="Arial" w:cs="Arial" w:eastAsia="Arial" w:hAnsi="Arial"/>
          <w:i/>
          <w:iCs/>
          <w:color w:val="2D2D2D"/>
          <w:sz w:val="22"/>
          <w:szCs w:val="22"/>
        </w:rPr>
        <w:t xml:space="preserve">Deterministic Knowledge Integration: The Software Registry is the first and foundational deterministic knowledge base in this framework. All downstream phases query it—not email threads, not spreadsheets, not tribal knowledge. Knowledge generated in subsequent phases (reuse decisions, decommission rationale, capability assessments) is staged back into the Registry by the Knowledge Staging Agent.</w:t>
      </w:r>
    </w:p>
    <w:p>
      <w:pPr>
        <w:pStyle w:val="Heading2"/>
        <w:spacing w:before="300" w:after="120"/>
      </w:pPr>
      <w:r>
        <w:rPr>
          <w:rFonts w:ascii="Arial" w:cs="Arial" w:eastAsia="Arial" w:hAnsi="Arial"/>
          <w:b/>
          <w:bCs/>
          <w:color w:val="2C5F8A"/>
          <w:sz w:val="28"/>
          <w:szCs w:val="28"/>
        </w:rPr>
        <w:t xml:space="preserve">6.2 Software Registry: Federated Data Sources</w:t>
      </w:r>
    </w:p>
    <w:p>
      <w:pPr>
        <w:pStyle w:val="ListParagraph"/>
        <w:numPr>
          <w:ilvl w:val="0"/>
          <w:numId w:val="2"/>
        </w:numPr>
        <w:spacing w:after="60"/>
      </w:pPr>
      <w:r>
        <w:rPr>
          <w:rFonts w:ascii="Arial" w:cs="Arial" w:eastAsia="Arial" w:hAnsi="Arial"/>
          <w:color w:val="2D2D2D"/>
          <w:sz w:val="22"/>
          <w:szCs w:val="22"/>
        </w:rPr>
        <w:t xml:space="preserve"/>
      </w:r>
      <w:r>
        <w:rPr>
          <w:rFonts w:ascii="Arial" w:cs="Arial" w:eastAsia="Arial" w:hAnsi="Arial"/>
          <w:b/>
          <w:bCs/>
          <w:color w:val="2D2D2D"/>
          <w:sz w:val="22"/>
          <w:szCs w:val="22"/>
        </w:rPr>
        <w:t xml:space="preserve">Configuration Management Database (CMDB):</w:t>
      </w:r>
      <w:r>
        <w:rPr>
          <w:rFonts w:ascii="Arial" w:cs="Arial" w:eastAsia="Arial" w:hAnsi="Arial"/>
          <w:color w:val="2D2D2D"/>
          <w:sz w:val="22"/>
          <w:szCs w:val="22"/>
        </w:rPr>
        <w:t xml:space="preserve"> All deployed applications and services—version, owner, business unit, integration dependencies, data classification, environment (production/non-production), and operational status.</w:t>
      </w:r>
    </w:p>
    <w:p>
      <w:pPr>
        <w:pStyle w:val="ListParagraph"/>
        <w:numPr>
          <w:ilvl w:val="0"/>
          <w:numId w:val="2"/>
        </w:numPr>
        <w:spacing w:after="60"/>
      </w:pPr>
      <w:r>
        <w:rPr>
          <w:rFonts w:ascii="Arial" w:cs="Arial" w:eastAsia="Arial" w:hAnsi="Arial"/>
          <w:color w:val="2D2D2D"/>
          <w:sz w:val="22"/>
          <w:szCs w:val="22"/>
        </w:rPr>
        <w:t xml:space="preserve"/>
      </w:r>
      <w:r>
        <w:rPr>
          <w:rFonts w:ascii="Arial" w:cs="Arial" w:eastAsia="Arial" w:hAnsi="Arial"/>
          <w:b/>
          <w:bCs/>
          <w:color w:val="2D2D2D"/>
          <w:sz w:val="22"/>
          <w:szCs w:val="22"/>
        </w:rPr>
        <w:t xml:space="preserve">Software Asset Management (SAM) Tool:</w:t>
      </w:r>
      <w:r>
        <w:rPr>
          <w:rFonts w:ascii="Arial" w:cs="Arial" w:eastAsia="Arial" w:hAnsi="Arial"/>
          <w:color w:val="2D2D2D"/>
          <w:sz w:val="22"/>
          <w:szCs w:val="22"/>
        </w:rPr>
        <w:t xml:space="preserve"> License entitlements, actual seat utilization, renewal dates, contract values, compliance status, and vendor contact records. Integrated with procurement system for contract lifecycle alignment.</w:t>
      </w:r>
    </w:p>
    <w:p>
      <w:pPr>
        <w:pStyle w:val="ListParagraph"/>
        <w:numPr>
          <w:ilvl w:val="0"/>
          <w:numId w:val="2"/>
        </w:numPr>
        <w:spacing w:after="60"/>
      </w:pPr>
      <w:r>
        <w:rPr>
          <w:rFonts w:ascii="Arial" w:cs="Arial" w:eastAsia="Arial" w:hAnsi="Arial"/>
          <w:color w:val="2D2D2D"/>
          <w:sz w:val="22"/>
          <w:szCs w:val="22"/>
        </w:rPr>
        <w:t xml:space="preserve"/>
      </w:r>
      <w:r>
        <w:rPr>
          <w:rFonts w:ascii="Arial" w:cs="Arial" w:eastAsia="Arial" w:hAnsi="Arial"/>
          <w:b/>
          <w:bCs/>
          <w:color w:val="2D2D2D"/>
          <w:sz w:val="22"/>
          <w:szCs w:val="22"/>
        </w:rPr>
        <w:t xml:space="preserve">Internal Source Code Repository (GitHub Enterprise / Bitbucket / Azure DevOps):</w:t>
      </w:r>
      <w:r>
        <w:rPr>
          <w:rFonts w:ascii="Arial" w:cs="Arial" w:eastAsia="Arial" w:hAnsi="Arial"/>
          <w:color w:val="2D2D2D"/>
          <w:sz w:val="22"/>
          <w:szCs w:val="22"/>
        </w:rPr>
        <w:t xml:space="preserve"> Automated scanning for internally built libraries, microservices, APIs, SDKs, and in-flight builds. Dependency graph analysis via SBOM generation (SPDX / CycloneDX) with vulnerability scan integration.</w:t>
      </w:r>
    </w:p>
    <w:p>
      <w:pPr>
        <w:pStyle w:val="ListParagraph"/>
        <w:numPr>
          <w:ilvl w:val="0"/>
          <w:numId w:val="2"/>
        </w:numPr>
        <w:spacing w:after="60"/>
      </w:pPr>
      <w:r>
        <w:rPr>
          <w:rFonts w:ascii="Arial" w:cs="Arial" w:eastAsia="Arial" w:hAnsi="Arial"/>
          <w:color w:val="2D2D2D"/>
          <w:sz w:val="22"/>
          <w:szCs w:val="22"/>
        </w:rPr>
        <w:t xml:space="preserve"/>
      </w:r>
      <w:r>
        <w:rPr>
          <w:rFonts w:ascii="Arial" w:cs="Arial" w:eastAsia="Arial" w:hAnsi="Arial"/>
          <w:b/>
          <w:bCs/>
          <w:color w:val="2D2D2D"/>
          <w:sz w:val="22"/>
          <w:szCs w:val="22"/>
        </w:rPr>
        <w:t xml:space="preserve">SaaS Spend Analytics and SSO Integration:</w:t>
      </w:r>
      <w:r>
        <w:rPr>
          <w:rFonts w:ascii="Arial" w:cs="Arial" w:eastAsia="Arial" w:hAnsi="Arial"/>
          <w:color w:val="2D2D2D"/>
          <w:sz w:val="22"/>
          <w:szCs w:val="22"/>
        </w:rPr>
        <w:t xml:space="preserve"> SSO usage data cross-referenced with expense management and card spend to detect shadow IT.</w:t>
      </w:r>
    </w:p>
    <w:p>
      <w:pPr>
        <w:pStyle w:val="ListParagraph"/>
        <w:numPr>
          <w:ilvl w:val="0"/>
          <w:numId w:val="2"/>
        </w:numPr>
        <w:spacing w:after="60"/>
      </w:pPr>
      <w:r>
        <w:rPr>
          <w:rFonts w:ascii="Arial" w:cs="Arial" w:eastAsia="Arial" w:hAnsi="Arial"/>
          <w:color w:val="2D2D2D"/>
          <w:sz w:val="22"/>
          <w:szCs w:val="22"/>
        </w:rPr>
        <w:t xml:space="preserve"/>
      </w:r>
      <w:r>
        <w:rPr>
          <w:rFonts w:ascii="Arial" w:cs="Arial" w:eastAsia="Arial" w:hAnsi="Arial"/>
          <w:b/>
          <w:bCs/>
          <w:color w:val="2D2D2D"/>
          <w:sz w:val="22"/>
          <w:szCs w:val="22"/>
        </w:rPr>
        <w:t xml:space="preserve">Active Vendor Contract Repository:</w:t>
      </w:r>
      <w:r>
        <w:rPr>
          <w:rFonts w:ascii="Arial" w:cs="Arial" w:eastAsia="Arial" w:hAnsi="Arial"/>
          <w:color w:val="2D2D2D"/>
          <w:sz w:val="22"/>
          <w:szCs w:val="22"/>
        </w:rPr>
        <w:t xml:space="preserve"> All current MSAs, SaaS agreements, professional services contracts, and addenda—including expansion rights, multi-use provisions, and available seat counts.</w:t>
      </w:r>
    </w:p>
    <w:p>
      <w:pPr>
        <w:pStyle w:val="ListParagraph"/>
        <w:numPr>
          <w:ilvl w:val="0"/>
          <w:numId w:val="2"/>
        </w:numPr>
        <w:spacing w:after="60"/>
      </w:pPr>
      <w:r>
        <w:rPr>
          <w:rFonts w:ascii="Arial" w:cs="Arial" w:eastAsia="Arial" w:hAnsi="Arial"/>
          <w:color w:val="2D2D2D"/>
          <w:sz w:val="22"/>
          <w:szCs w:val="22"/>
        </w:rPr>
        <w:t xml:space="preserve"/>
      </w:r>
      <w:r>
        <w:rPr>
          <w:rFonts w:ascii="Arial" w:cs="Arial" w:eastAsia="Arial" w:hAnsi="Arial"/>
          <w:b/>
          <w:bCs/>
          <w:color w:val="2D2D2D"/>
          <w:sz w:val="22"/>
          <w:szCs w:val="22"/>
        </w:rPr>
        <w:t xml:space="preserve">In-Flight Development Backlog (Jira / Azure DevOps):</w:t>
      </w:r>
      <w:r>
        <w:rPr>
          <w:rFonts w:ascii="Arial" w:cs="Arial" w:eastAsia="Arial" w:hAnsi="Arial"/>
          <w:color w:val="2D2D2D"/>
          <w:sz w:val="22"/>
          <w:szCs w:val="22"/>
        </w:rPr>
        <w:t xml:space="preserve"> All initiatives currently approved, in development, or in procurement—enabling merge and deduplication detection at intake.</w:t>
      </w:r>
    </w:p>
    <w:p>
      <w:pPr>
        <w:pStyle w:val="ListParagraph"/>
        <w:numPr>
          <w:ilvl w:val="0"/>
          <w:numId w:val="2"/>
        </w:numPr>
        <w:spacing w:after="60"/>
      </w:pPr>
      <w:r>
        <w:rPr>
          <w:rFonts w:ascii="Arial" w:cs="Arial" w:eastAsia="Arial" w:hAnsi="Arial"/>
          <w:color w:val="2D2D2D"/>
          <w:sz w:val="22"/>
          <w:szCs w:val="22"/>
        </w:rPr>
        <w:t xml:space="preserve"/>
      </w:r>
      <w:r>
        <w:rPr>
          <w:rFonts w:ascii="Arial" w:cs="Arial" w:eastAsia="Arial" w:hAnsi="Arial"/>
          <w:b/>
          <w:bCs/>
          <w:color w:val="2D2D2D"/>
          <w:sz w:val="22"/>
          <w:szCs w:val="22"/>
        </w:rPr>
        <w:t xml:space="preserve">Retired and Decommissioned Asset Register:</w:t>
      </w:r>
      <w:r>
        <w:rPr>
          <w:rFonts w:ascii="Arial" w:cs="Arial" w:eastAsia="Arial" w:hAnsi="Arial"/>
          <w:color w:val="2D2D2D"/>
          <w:sz w:val="22"/>
          <w:szCs w:val="22"/>
        </w:rPr>
        <w:t xml:space="preserve"> Intentionally retired tools with decommission rationale, preventing re-procurement of tools removed for cause.</w:t>
      </w:r>
    </w:p>
    <w:p>
      <w:pPr>
        <w:pStyle w:val="ListParagraph"/>
        <w:numPr>
          <w:ilvl w:val="0"/>
          <w:numId w:val="2"/>
        </w:numPr>
        <w:spacing w:after="60"/>
      </w:pPr>
      <w:r>
        <w:rPr>
          <w:rFonts w:ascii="Arial" w:cs="Arial" w:eastAsia="Arial" w:hAnsi="Arial"/>
          <w:color w:val="2D2D2D"/>
          <w:sz w:val="22"/>
          <w:szCs w:val="22"/>
        </w:rPr>
        <w:t xml:space="preserve"/>
      </w:r>
      <w:r>
        <w:rPr>
          <w:rFonts w:ascii="Arial" w:cs="Arial" w:eastAsia="Arial" w:hAnsi="Arial"/>
          <w:b/>
          <w:bCs/>
          <w:color w:val="2D2D2D"/>
          <w:sz w:val="22"/>
          <w:szCs w:val="22"/>
        </w:rPr>
        <w:t xml:space="preserve">Open-Source Registry:</w:t>
      </w:r>
      <w:r>
        <w:rPr>
          <w:rFonts w:ascii="Arial" w:cs="Arial" w:eastAsia="Arial" w:hAnsi="Arial"/>
          <w:color w:val="2D2D2D"/>
          <w:sz w:val="22"/>
          <w:szCs w:val="22"/>
        </w:rPr>
        <w:t xml:space="preserve"> All open-source components approved for enterprise use, including license type, security review status, and approved version ranges.</w:t>
      </w:r>
    </w:p>
    <w:p>
      <w:pPr>
        <w:pStyle w:val="Heading2"/>
        <w:spacing w:before="300" w:after="120"/>
      </w:pPr>
      <w:r>
        <w:rPr>
          <w:rFonts w:ascii="Arial" w:cs="Arial" w:eastAsia="Arial" w:hAnsi="Arial"/>
          <w:b/>
          <w:bCs/>
          <w:color w:val="2C5F8A"/>
          <w:sz w:val="28"/>
          <w:szCs w:val="28"/>
        </w:rPr>
        <w:t xml:space="preserve">6.3 Continuous Intelligence Processes</w:t>
      </w:r>
    </w:p>
    <w:p>
      <w:pPr>
        <w:spacing w:after="120"/>
      </w:pPr>
      <w:r>
        <w:rPr>
          <w:rFonts w:ascii="Arial" w:cs="Arial" w:eastAsia="Arial" w:hAnsi="Arial"/>
          <w:color w:val="2D2D2D"/>
          <w:sz w:val="22"/>
          <w:szCs w:val="22"/>
        </w:rPr>
        <w:t xml:space="preserve">All processes below are </w:t>
      </w:r>
      <w:r>
        <w:rPr>
          <w:rFonts w:ascii="Arial" w:cs="Arial" w:eastAsia="Arial" w:hAnsi="Arial"/>
          <w:b/>
          <w:bCs/>
          <w:color w:val="2D2D2D"/>
          <w:sz w:val="22"/>
          <w:szCs w:val="22"/>
        </w:rPr>
        <w:t xml:space="preserve">Automated (A)</w:t>
      </w:r>
      <w:r>
        <w:rPr>
          <w:rFonts w:ascii="Arial" w:cs="Arial" w:eastAsia="Arial" w:hAnsi="Arial"/>
          <w:color w:val="2D2D2D"/>
          <w:sz w:val="22"/>
          <w:szCs w:val="22"/>
        </w:rPr>
        <w:t xml:space="preserve"> unless noted:</w:t>
      </w:r>
    </w:p>
    <w:p>
      <w:pPr>
        <w:pStyle w:val="ListParagraph"/>
        <w:numPr>
          <w:ilvl w:val="0"/>
          <w:numId w:val="2"/>
        </w:numPr>
        <w:spacing w:after="60"/>
      </w:pPr>
      <w:r>
        <w:rPr>
          <w:rFonts w:ascii="Arial" w:cs="Arial" w:eastAsia="Arial" w:hAnsi="Arial"/>
          <w:color w:val="2D2D2D"/>
          <w:sz w:val="22"/>
          <w:szCs w:val="22"/>
        </w:rPr>
        <w:t xml:space="preserve">Automated nightly reconciliation across all data sources with delta alerting for new, changed, or expired assets. </w:t>
      </w:r>
      <w:r>
        <w:rPr>
          <w:rFonts w:ascii="Arial" w:cs="Arial" w:eastAsia="Arial" w:hAnsi="Arial"/>
          <w:b/>
          <w:bCs/>
          <w:color w:val="2D2D2D"/>
          <w:sz w:val="22"/>
          <w:szCs w:val="22"/>
        </w:rPr>
        <w:t xml:space="preserve">(A)</w:t>
      </w:r>
      <w:r>
        <w:rPr>
          <w:rFonts w:ascii="Arial" w:cs="Arial" w:eastAsia="Arial" w:hAnsi="Arial"/>
          <w:color w:val="2D2D2D"/>
          <w:sz w:val="22"/>
          <w:szCs w:val="22"/>
        </w:rPr>
        <w:t xml:space="preserve"/>
      </w:r>
    </w:p>
    <w:p>
      <w:pPr>
        <w:pStyle w:val="ListParagraph"/>
        <w:numPr>
          <w:ilvl w:val="0"/>
          <w:numId w:val="2"/>
        </w:numPr>
        <w:spacing w:after="60"/>
      </w:pPr>
      <w:r>
        <w:rPr>
          <w:rFonts w:ascii="Arial" w:cs="Arial" w:eastAsia="Arial" w:hAnsi="Arial"/>
          <w:color w:val="2D2D2D"/>
          <w:sz w:val="22"/>
          <w:szCs w:val="22"/>
        </w:rPr>
        <w:t xml:space="preserve">Real-time API exposed to the Phase 1 Intake Bot and Phase 2 Routing Engine: every intake query includes an automated Software Registry lookup before human review begins. </w:t>
      </w:r>
      <w:r>
        <w:rPr>
          <w:rFonts w:ascii="Arial" w:cs="Arial" w:eastAsia="Arial" w:hAnsi="Arial"/>
          <w:b/>
          <w:bCs/>
          <w:color w:val="2D2D2D"/>
          <w:sz w:val="22"/>
          <w:szCs w:val="22"/>
        </w:rPr>
        <w:t xml:space="preserve">(A)</w:t>
      </w:r>
      <w:r>
        <w:rPr>
          <w:rFonts w:ascii="Arial" w:cs="Arial" w:eastAsia="Arial" w:hAnsi="Arial"/>
          <w:color w:val="2D2D2D"/>
          <w:sz w:val="22"/>
          <w:szCs w:val="22"/>
        </w:rPr>
        <w:t xml:space="preserve"/>
      </w:r>
    </w:p>
    <w:p>
      <w:pPr>
        <w:pStyle w:val="ListParagraph"/>
        <w:numPr>
          <w:ilvl w:val="0"/>
          <w:numId w:val="2"/>
        </w:numPr>
        <w:spacing w:after="60"/>
      </w:pPr>
      <w:r>
        <w:rPr>
          <w:rFonts w:ascii="Arial" w:cs="Arial" w:eastAsia="Arial" w:hAnsi="Arial"/>
          <w:color w:val="2D2D2D"/>
          <w:sz w:val="22"/>
          <w:szCs w:val="22"/>
        </w:rPr>
        <w:t xml:space="preserve">License utilization alerting: any software asset with utilization below 40% of licensed seats generates a reuse recommendation workflow. </w:t>
      </w:r>
      <w:r>
        <w:rPr>
          <w:rFonts w:ascii="Arial" w:cs="Arial" w:eastAsia="Arial" w:hAnsi="Arial"/>
          <w:b/>
          <w:bCs/>
          <w:color w:val="2D2D2D"/>
          <w:sz w:val="22"/>
          <w:szCs w:val="22"/>
        </w:rPr>
        <w:t xml:space="preserve">(DA)</w:t>
      </w:r>
      <w:r>
        <w:rPr>
          <w:rFonts w:ascii="Arial" w:cs="Arial" w:eastAsia="Arial" w:hAnsi="Arial"/>
          <w:color w:val="2D2D2D"/>
          <w:sz w:val="22"/>
          <w:szCs w:val="22"/>
        </w:rPr>
        <w:t xml:space="preserve"/>
      </w:r>
    </w:p>
    <w:p>
      <w:pPr>
        <w:pStyle w:val="ListParagraph"/>
        <w:numPr>
          <w:ilvl w:val="0"/>
          <w:numId w:val="2"/>
        </w:numPr>
        <w:spacing w:after="60"/>
      </w:pPr>
      <w:r>
        <w:rPr>
          <w:rFonts w:ascii="Arial" w:cs="Arial" w:eastAsia="Arial" w:hAnsi="Arial"/>
          <w:color w:val="2D2D2D"/>
          <w:sz w:val="22"/>
          <w:szCs w:val="22"/>
        </w:rPr>
        <w:t xml:space="preserve">Shadow IT triage workflow: SSO-identified applications not registered in the procurement system trigger an automated intake workflow. </w:t>
      </w:r>
      <w:r>
        <w:rPr>
          <w:rFonts w:ascii="Arial" w:cs="Arial" w:eastAsia="Arial" w:hAnsi="Arial"/>
          <w:b/>
          <w:bCs/>
          <w:color w:val="2D2D2D"/>
          <w:sz w:val="22"/>
          <w:szCs w:val="22"/>
        </w:rPr>
        <w:t xml:space="preserve">(A)</w:t>
      </w:r>
      <w:r>
        <w:rPr>
          <w:rFonts w:ascii="Arial" w:cs="Arial" w:eastAsia="Arial" w:hAnsi="Arial"/>
          <w:color w:val="2D2D2D"/>
          <w:sz w:val="22"/>
          <w:szCs w:val="22"/>
        </w:rPr>
        <w:t xml:space="preserve"/>
      </w:r>
    </w:p>
    <w:p>
      <w:pPr>
        <w:pStyle w:val="ListParagraph"/>
        <w:numPr>
          <w:ilvl w:val="0"/>
          <w:numId w:val="2"/>
        </w:numPr>
        <w:spacing w:after="60"/>
      </w:pPr>
      <w:r>
        <w:rPr>
          <w:rFonts w:ascii="Arial" w:cs="Arial" w:eastAsia="Arial" w:hAnsi="Arial"/>
          <w:color w:val="2D2D2D"/>
          <w:sz w:val="22"/>
          <w:szCs w:val="22"/>
        </w:rPr>
        <w:t xml:space="preserve">SBOM collection: all internally built assets generate an SBOM stored in the registry, linked to National Vulnerability Database (NVD) scanning. </w:t>
      </w:r>
      <w:r>
        <w:rPr>
          <w:rFonts w:ascii="Arial" w:cs="Arial" w:eastAsia="Arial" w:hAnsi="Arial"/>
          <w:b/>
          <w:bCs/>
          <w:color w:val="2D2D2D"/>
          <w:sz w:val="22"/>
          <w:szCs w:val="22"/>
        </w:rPr>
        <w:t xml:space="preserve">(A)</w:t>
      </w:r>
      <w:r>
        <w:rPr>
          <w:rFonts w:ascii="Arial" w:cs="Arial" w:eastAsia="Arial" w:hAnsi="Arial"/>
          <w:color w:val="2D2D2D"/>
          <w:sz w:val="22"/>
          <w:szCs w:val="22"/>
        </w:rPr>
        <w:t xml:space="preserve"/>
      </w:r>
    </w:p>
    <w:p>
      <w:pPr>
        <w:pStyle w:val="ListParagraph"/>
        <w:numPr>
          <w:ilvl w:val="0"/>
          <w:numId w:val="2"/>
        </w:numPr>
        <w:spacing w:after="60"/>
      </w:pPr>
      <w:r>
        <w:rPr>
          <w:rFonts w:ascii="Arial" w:cs="Arial" w:eastAsia="Arial" w:hAnsi="Arial"/>
          <w:color w:val="2D2D2D"/>
          <w:sz w:val="22"/>
          <w:szCs w:val="22"/>
        </w:rPr>
        <w:t xml:space="preserve">Quarterly reconciliation audit: Software Asset Manager reconciles registry records against vendor invoices and CMDB configuration items. </w:t>
      </w:r>
      <w:r>
        <w:rPr>
          <w:rFonts w:ascii="Arial" w:cs="Arial" w:eastAsia="Arial" w:hAnsi="Arial"/>
          <w:b/>
          <w:bCs/>
          <w:color w:val="2D2D2D"/>
          <w:sz w:val="22"/>
          <w:szCs w:val="22"/>
        </w:rPr>
        <w:t xml:space="preserve">(H)</w:t>
      </w:r>
      <w:r>
        <w:rPr>
          <w:rFonts w:ascii="Arial" w:cs="Arial" w:eastAsia="Arial" w:hAnsi="Arial"/>
          <w:color w:val="2D2D2D"/>
          <w:sz w:val="22"/>
          <w:szCs w:val="22"/>
        </w:rPr>
        <w:t xml:space="preserve"/>
      </w:r>
    </w:p>
    <w:p>
      <w:pPr>
        <w:pStyle w:val="ListParagraph"/>
        <w:numPr>
          <w:ilvl w:val="0"/>
          <w:numId w:val="2"/>
        </w:numPr>
        <w:spacing w:after="60"/>
      </w:pPr>
      <w:r>
        <w:rPr>
          <w:rFonts w:ascii="Arial" w:cs="Arial" w:eastAsia="Arial" w:hAnsi="Arial"/>
          <w:color w:val="2D2D2D"/>
          <w:sz w:val="22"/>
          <w:szCs w:val="22"/>
        </w:rPr>
        <w:t xml:space="preserve">Registry refresh SLA: any change to a production system is reflected in the registry within 24 hours; new contract entries within 48 hours of signature.</w:t>
      </w:r>
    </w:p>
    <w:p>
      <w:pPr>
        <w:pStyle w:val="Heading2"/>
        <w:spacing w:before="300" w:after="120"/>
      </w:pPr>
      <w:r>
        <w:rPr>
          <w:rFonts w:ascii="Arial" w:cs="Arial" w:eastAsia="Arial" w:hAnsi="Arial"/>
          <w:b/>
          <w:bCs/>
          <w:color w:val="2C5F8A"/>
          <w:sz w:val="28"/>
          <w:szCs w:val="28"/>
        </w:rPr>
        <w:t xml:space="preserve">6.4 Registry-to-Intake Query Interface</w:t>
      </w:r>
    </w:p>
    <w:p>
      <w:pPr>
        <w:spacing w:after="120"/>
      </w:pPr>
      <w:r>
        <w:rPr>
          <w:rFonts w:ascii="Arial" w:cs="Arial" w:eastAsia="Arial" w:hAnsi="Arial"/>
          <w:color w:val="2D2D2D"/>
          <w:sz w:val="22"/>
          <w:szCs w:val="22"/>
        </w:rPr>
        <w:t xml:space="preserve">When a requestor begins an intake session, the Intake Bot automatically executes a semantic search against the Software Registry using the capability description. Results are returned in four categories:</w:t>
      </w:r>
    </w:p>
    <w:p>
      <w:pPr>
        <w:pStyle w:val="ListParagraph"/>
        <w:numPr>
          <w:ilvl w:val="0"/>
          <w:numId w:val="2"/>
        </w:numPr>
        <w:spacing w:after="60"/>
      </w:pPr>
      <w:r>
        <w:rPr>
          <w:rFonts w:ascii="Arial" w:cs="Arial" w:eastAsia="Arial" w:hAnsi="Arial"/>
          <w:color w:val="2D2D2D"/>
          <w:sz w:val="22"/>
          <w:szCs w:val="22"/>
        </w:rPr>
        <w:t xml:space="preserve"/>
      </w:r>
      <w:r>
        <w:rPr>
          <w:rFonts w:ascii="Arial" w:cs="Arial" w:eastAsia="Arial" w:hAnsi="Arial"/>
          <w:b/>
          <w:bCs/>
          <w:color w:val="2D2D2D"/>
          <w:sz w:val="22"/>
          <w:szCs w:val="22"/>
        </w:rPr>
        <w:t xml:space="preserve">Exact match (&gt;90% similarity):</w:t>
      </w:r>
      <w:r>
        <w:rPr>
          <w:rFonts w:ascii="Arial" w:cs="Arial" w:eastAsia="Arial" w:hAnsi="Arial"/>
          <w:color w:val="2D2D2D"/>
          <w:sz w:val="22"/>
          <w:szCs w:val="22"/>
        </w:rPr>
        <w:t xml:space="preserve"> Requestor is redirected to the ITSM service catalog for self-service fulfilment. No further intake required. </w:t>
      </w:r>
      <w:r>
        <w:rPr>
          <w:rFonts w:ascii="Arial" w:cs="Arial" w:eastAsia="Arial" w:hAnsi="Arial"/>
          <w:b/>
          <w:bCs/>
          <w:color w:val="2D2D2D"/>
          <w:sz w:val="22"/>
          <w:szCs w:val="22"/>
        </w:rPr>
        <w:t xml:space="preserve">(A)</w:t>
      </w:r>
      <w:r>
        <w:rPr>
          <w:rFonts w:ascii="Arial" w:cs="Arial" w:eastAsia="Arial" w:hAnsi="Arial"/>
          <w:color w:val="2D2D2D"/>
          <w:sz w:val="22"/>
          <w:szCs w:val="22"/>
        </w:rPr>
        <w:t xml:space="preserve"/>
      </w:r>
    </w:p>
    <w:p>
      <w:pPr>
        <w:pStyle w:val="ListParagraph"/>
        <w:numPr>
          <w:ilvl w:val="0"/>
          <w:numId w:val="2"/>
        </w:numPr>
        <w:spacing w:after="60"/>
      </w:pPr>
      <w:r>
        <w:rPr>
          <w:rFonts w:ascii="Arial" w:cs="Arial" w:eastAsia="Arial" w:hAnsi="Arial"/>
          <w:color w:val="2D2D2D"/>
          <w:sz w:val="22"/>
          <w:szCs w:val="22"/>
        </w:rPr>
        <w:t xml:space="preserve"/>
      </w:r>
      <w:r>
        <w:rPr>
          <w:rFonts w:ascii="Arial" w:cs="Arial" w:eastAsia="Arial" w:hAnsi="Arial"/>
          <w:b/>
          <w:bCs/>
          <w:color w:val="2D2D2D"/>
          <w:sz w:val="22"/>
          <w:szCs w:val="22"/>
        </w:rPr>
        <w:t xml:space="preserve">Partial capability match (70–90% similarity):</w:t>
      </w:r>
      <w:r>
        <w:rPr>
          <w:rFonts w:ascii="Arial" w:cs="Arial" w:eastAsia="Arial" w:hAnsi="Arial"/>
          <w:color w:val="2D2D2D"/>
          <w:sz w:val="22"/>
          <w:szCs w:val="22"/>
        </w:rPr>
        <w:t xml:space="preserve"> Product Owner is notified; a structured reuse assessment is scheduled within five business days. </w:t>
      </w:r>
      <w:r>
        <w:rPr>
          <w:rFonts w:ascii="Arial" w:cs="Arial" w:eastAsia="Arial" w:hAnsi="Arial"/>
          <w:b/>
          <w:bCs/>
          <w:color w:val="2D2D2D"/>
          <w:sz w:val="22"/>
          <w:szCs w:val="22"/>
        </w:rPr>
        <w:t xml:space="preserve">(H)</w:t>
      </w:r>
      <w:r>
        <w:rPr>
          <w:rFonts w:ascii="Arial" w:cs="Arial" w:eastAsia="Arial" w:hAnsi="Arial"/>
          <w:color w:val="2D2D2D"/>
          <w:sz w:val="22"/>
          <w:szCs w:val="22"/>
        </w:rPr>
        <w:t xml:space="preserve"/>
      </w:r>
    </w:p>
    <w:p>
      <w:pPr>
        <w:pStyle w:val="ListParagraph"/>
        <w:numPr>
          <w:ilvl w:val="0"/>
          <w:numId w:val="2"/>
        </w:numPr>
        <w:spacing w:after="60"/>
      </w:pPr>
      <w:r>
        <w:rPr>
          <w:rFonts w:ascii="Arial" w:cs="Arial" w:eastAsia="Arial" w:hAnsi="Arial"/>
          <w:color w:val="2D2D2D"/>
          <w:sz w:val="22"/>
          <w:szCs w:val="22"/>
        </w:rPr>
        <w:t xml:space="preserve"/>
      </w:r>
      <w:r>
        <w:rPr>
          <w:rFonts w:ascii="Arial" w:cs="Arial" w:eastAsia="Arial" w:hAnsi="Arial"/>
          <w:b/>
          <w:bCs/>
          <w:color w:val="2D2D2D"/>
          <w:sz w:val="22"/>
          <w:szCs w:val="22"/>
        </w:rPr>
        <w:t xml:space="preserve">In-flight backlog match:</w:t>
      </w:r>
      <w:r>
        <w:rPr>
          <w:rFonts w:ascii="Arial" w:cs="Arial" w:eastAsia="Arial" w:hAnsi="Arial"/>
          <w:color w:val="2D2D2D"/>
          <w:sz w:val="22"/>
          <w:szCs w:val="22"/>
        </w:rPr>
        <w:t xml:space="preserve"> Requestor is offered the option to merge with the existing initiative or proceed as separate with documented rationale. </w:t>
      </w:r>
      <w:r>
        <w:rPr>
          <w:rFonts w:ascii="Arial" w:cs="Arial" w:eastAsia="Arial" w:hAnsi="Arial"/>
          <w:b/>
          <w:bCs/>
          <w:color w:val="2D2D2D"/>
          <w:sz w:val="22"/>
          <w:szCs w:val="22"/>
        </w:rPr>
        <w:t xml:space="preserve">(H)</w:t>
      </w:r>
      <w:r>
        <w:rPr>
          <w:rFonts w:ascii="Arial" w:cs="Arial" w:eastAsia="Arial" w:hAnsi="Arial"/>
          <w:color w:val="2D2D2D"/>
          <w:sz w:val="22"/>
          <w:szCs w:val="22"/>
        </w:rPr>
        <w:t xml:space="preserve"/>
      </w:r>
    </w:p>
    <w:p>
      <w:pPr>
        <w:pStyle w:val="ListParagraph"/>
        <w:numPr>
          <w:ilvl w:val="0"/>
          <w:numId w:val="2"/>
        </w:numPr>
        <w:spacing w:after="60"/>
      </w:pPr>
      <w:r>
        <w:rPr>
          <w:rFonts w:ascii="Arial" w:cs="Arial" w:eastAsia="Arial" w:hAnsi="Arial"/>
          <w:color w:val="2D2D2D"/>
          <w:sz w:val="22"/>
          <w:szCs w:val="22"/>
        </w:rPr>
        <w:t xml:space="preserve"/>
      </w:r>
      <w:r>
        <w:rPr>
          <w:rFonts w:ascii="Arial" w:cs="Arial" w:eastAsia="Arial" w:hAnsi="Arial"/>
          <w:b/>
          <w:bCs/>
          <w:color w:val="2D2D2D"/>
          <w:sz w:val="22"/>
          <w:szCs w:val="22"/>
        </w:rPr>
        <w:t xml:space="preserve">Retired/decommissioned match:</w:t>
      </w:r>
      <w:r>
        <w:rPr>
          <w:rFonts w:ascii="Arial" w:cs="Arial" w:eastAsia="Arial" w:hAnsi="Arial"/>
          <w:color w:val="2D2D2D"/>
          <w:sz w:val="22"/>
          <w:szCs w:val="22"/>
        </w:rPr>
        <w:t xml:space="preserve"> Decommission rationale is surfaced and included in the intake record. </w:t>
      </w:r>
      <w:r>
        <w:rPr>
          <w:rFonts w:ascii="Arial" w:cs="Arial" w:eastAsia="Arial" w:hAnsi="Arial"/>
          <w:b/>
          <w:bCs/>
          <w:color w:val="2D2D2D"/>
          <w:sz w:val="22"/>
          <w:szCs w:val="22"/>
        </w:rPr>
        <w:t xml:space="preserve">(DA)</w:t>
      </w:r>
      <w:r>
        <w:rPr>
          <w:rFonts w:ascii="Arial" w:cs="Arial" w:eastAsia="Arial" w:hAnsi="Arial"/>
          <w:color w:val="2D2D2D"/>
          <w:sz w:val="22"/>
          <w:szCs w:val="22"/>
        </w:rPr>
        <w:t xml:space="preserve"/>
      </w:r>
    </w:p>
    <w:p>
      <w:r>
        <w:br w:type="page"/>
      </w:r>
    </w:p>
    <w:p>
      <w:pPr>
        <w:pStyle w:val="Heading1"/>
      </w:pPr>
      <w:r>
        <w:rPr>
          <w:rFonts w:ascii="Arial" w:cs="Arial" w:eastAsia="Arial" w:hAnsi="Arial"/>
          <w:b/>
          <w:bCs/>
          <w:color w:val="1B3A5C"/>
          <w:sz w:val="36"/>
          <w:szCs w:val="36"/>
        </w:rPr>
        <w:t xml:space="preserve">7. Phase 1: Conversational AI Intake, Concurrent Risk Classification, and Mandatory Capability Reuse Gate</w:t>
      </w:r>
    </w:p>
    <w:p>
      <w:pPr>
        <w:pBdr>
          <w:bottom w:val="single" w:color="1B3A5C" w:sz="6"/>
        </w:pBdr>
        <w:spacing w:before="300"/>
      </w:pPr>
    </w:p>
    <w:p>
      <w:pPr>
        <w:shd w:fill="1B3A5C" w:val="clear"/>
        <w:spacing w:before="120" w:after="60"/>
        <w:ind w:left="120" w:right="120"/>
      </w:pPr>
      <w:r>
        <w:rPr>
          <w:rFonts w:ascii="Arial" w:cs="Arial" w:eastAsia="Arial" w:hAnsi="Arial"/>
          <w:b/>
          <w:bCs/>
          <w:color w:val="FFFFFF"/>
          <w:sz w:val="24"/>
          <w:szCs w:val="24"/>
        </w:rPr>
        <w:t xml:space="preserve">P1  </w:t>
      </w:r>
      <w:r>
        <w:rPr>
          <w:rFonts w:ascii="Arial" w:cs="Arial" w:eastAsia="Arial" w:hAnsi="Arial"/>
          <w:b/>
          <w:bCs/>
          <w:color w:val="FFFFFF"/>
          <w:sz w:val="24"/>
          <w:szCs w:val="24"/>
        </w:rPr>
        <w:t xml:space="preserve">Intake, Risk Classification, and Capability Reuse Gate</w:t>
      </w:r>
    </w:p>
    <w:p>
      <w:pPr>
        <w:shd w:fill="E8F4FD" w:val="clear"/>
        <w:spacing w:after="200"/>
        <w:ind w:left="120" w:right="120"/>
      </w:pPr>
      <w:r>
        <w:rPr>
          <w:rFonts w:ascii="Arial" w:cs="Arial" w:eastAsia="Arial" w:hAnsi="Arial"/>
          <w:i/>
          <w:iCs/>
          <w:color w:val="2D2D2D"/>
          <w:sz w:val="20"/>
          <w:szCs w:val="20"/>
        </w:rPr>
        <w:t xml:space="preserve">Structured elicitation → Reuse check → PRD → Jira/ADO Epics → Git linkage. Risk classified in parallel. Compliance validated early.</w:t>
      </w:r>
    </w:p>
    <w:p>
      <w:pPr>
        <w:pStyle w:val="Heading2"/>
        <w:spacing w:before="300" w:after="120"/>
      </w:pPr>
      <w:r>
        <w:rPr>
          <w:rFonts w:ascii="Arial" w:cs="Arial" w:eastAsia="Arial" w:hAnsi="Arial"/>
          <w:b/>
          <w:bCs/>
          <w:color w:val="2C5F8A"/>
          <w:sz w:val="28"/>
          <w:szCs w:val="28"/>
        </w:rPr>
        <w:t xml:space="preserve">7.1 Conversational Intake Bot Design Standards</w:t>
      </w:r>
    </w:p>
    <w:p>
      <w:pPr>
        <w:spacing w:after="120"/>
      </w:pPr>
      <w:r>
        <w:rPr>
          <w:rFonts w:ascii="Arial" w:cs="Arial" w:eastAsia="Arial" w:hAnsi="Arial"/>
          <w:color w:val="2D2D2D"/>
          <w:sz w:val="22"/>
          <w:szCs w:val="22"/>
        </w:rPr>
        <w:t xml:space="preserve">The institution’s intake mechanism must be a structured conversational AI—not a form. A form can be submitted incomplete; a conversational bot enforces completeness through progressive elicitation, validates each response, and branches its question logic based on prior answers. Task type: </w:t>
      </w:r>
      <w:r>
        <w:rPr>
          <w:rFonts w:ascii="Arial" w:cs="Arial" w:eastAsia="Arial" w:hAnsi="Arial"/>
          <w:b/>
          <w:bCs/>
          <w:color w:val="2D2D2D"/>
          <w:sz w:val="22"/>
          <w:szCs w:val="22"/>
        </w:rPr>
        <w:t xml:space="preserve">Automated (A)</w:t>
      </w:r>
      <w:r>
        <w:rPr>
          <w:rFonts w:ascii="Arial" w:cs="Arial" w:eastAsia="Arial" w:hAnsi="Arial"/>
          <w:color w:val="2D2D2D"/>
          <w:sz w:val="22"/>
          <w:szCs w:val="22"/>
        </w:rPr>
        <w:t xml:space="preserve"> with </w:t>
      </w:r>
      <w:r>
        <w:rPr>
          <w:rFonts w:ascii="Arial" w:cs="Arial" w:eastAsia="Arial" w:hAnsi="Arial"/>
          <w:b/>
          <w:bCs/>
          <w:color w:val="2D2D2D"/>
          <w:sz w:val="22"/>
          <w:szCs w:val="22"/>
        </w:rPr>
        <w:t xml:space="preserve">Deterministic Agent-Enabled (DA)</w:t>
      </w:r>
      <w:r>
        <w:rPr>
          <w:rFonts w:ascii="Arial" w:cs="Arial" w:eastAsia="Arial" w:hAnsi="Arial"/>
          <w:color w:val="2D2D2D"/>
          <w:sz w:val="22"/>
          <w:szCs w:val="22"/>
        </w:rPr>
        <w:t xml:space="preserve"> enrichment.</w:t>
      </w:r>
    </w:p>
    <w:p>
      <w:pPr>
        <w:pStyle w:val="ListParagraph"/>
        <w:numPr>
          <w:ilvl w:val="0"/>
          <w:numId w:val="2"/>
        </w:numPr>
        <w:spacing w:after="60"/>
      </w:pPr>
      <w:r>
        <w:rPr>
          <w:rFonts w:ascii="Arial" w:cs="Arial" w:eastAsia="Arial" w:hAnsi="Arial"/>
          <w:color w:val="2D2D2D"/>
          <w:sz w:val="22"/>
          <w:szCs w:val="22"/>
        </w:rPr>
        <w:t xml:space="preserve">Guided, progressive disclosure: one targeted question at a time, branching based on previous responses.</w:t>
      </w:r>
    </w:p>
    <w:p>
      <w:pPr>
        <w:pStyle w:val="ListParagraph"/>
        <w:numPr>
          <w:ilvl w:val="0"/>
          <w:numId w:val="2"/>
        </w:numPr>
        <w:spacing w:after="60"/>
      </w:pPr>
      <w:r>
        <w:rPr>
          <w:rFonts w:ascii="Arial" w:cs="Arial" w:eastAsia="Arial" w:hAnsi="Arial"/>
          <w:color w:val="2D2D2D"/>
          <w:sz w:val="22"/>
          <w:szCs w:val="22"/>
        </w:rPr>
        <w:t xml:space="preserve">Context-aware personalization: the bot knows the requestor’s business unit, existing entitlements from the Software Registry, and open backlog initiatives.</w:t>
      </w:r>
    </w:p>
    <w:p>
      <w:pPr>
        <w:pStyle w:val="ListParagraph"/>
        <w:numPr>
          <w:ilvl w:val="0"/>
          <w:numId w:val="2"/>
        </w:numPr>
        <w:spacing w:after="60"/>
      </w:pPr>
      <w:r>
        <w:rPr>
          <w:rFonts w:ascii="Arial" w:cs="Arial" w:eastAsia="Arial" w:hAnsi="Arial"/>
          <w:color w:val="2D2D2D"/>
          <w:sz w:val="22"/>
          <w:szCs w:val="22"/>
        </w:rPr>
        <w:t xml:space="preserve">Completeness enforcement: submission is only possible when all pathway-specific required fields have been validated.</w:t>
      </w:r>
    </w:p>
    <w:p>
      <w:pPr>
        <w:pStyle w:val="ListParagraph"/>
        <w:numPr>
          <w:ilvl w:val="0"/>
          <w:numId w:val="2"/>
        </w:numPr>
        <w:spacing w:after="60"/>
      </w:pPr>
      <w:r>
        <w:rPr>
          <w:rFonts w:ascii="Arial" w:cs="Arial" w:eastAsia="Arial" w:hAnsi="Arial"/>
          <w:color w:val="2D2D2D"/>
          <w:sz w:val="22"/>
          <w:szCs w:val="22"/>
        </w:rPr>
        <w:t xml:space="preserve">Scoring transparency: the bot displays the requestor’s preliminary risk score and pathway routing as it develops.</w:t>
      </w:r>
    </w:p>
    <w:p>
      <w:pPr>
        <w:pStyle w:val="ListParagraph"/>
        <w:numPr>
          <w:ilvl w:val="0"/>
          <w:numId w:val="2"/>
        </w:numPr>
        <w:spacing w:after="60"/>
      </w:pPr>
      <w:r>
        <w:rPr>
          <w:rFonts w:ascii="Arial" w:cs="Arial" w:eastAsia="Arial" w:hAnsi="Arial"/>
          <w:color w:val="2D2D2D"/>
          <w:sz w:val="22"/>
          <w:szCs w:val="22"/>
        </w:rPr>
        <w:t xml:space="preserve">Session persistence: conversational state is saved; sessions can be paused and resumed.</w:t>
      </w:r>
    </w:p>
    <w:p>
      <w:pPr>
        <w:pStyle w:val="ListParagraph"/>
        <w:numPr>
          <w:ilvl w:val="0"/>
          <w:numId w:val="2"/>
        </w:numPr>
        <w:spacing w:after="60"/>
      </w:pPr>
      <w:r>
        <w:rPr>
          <w:rFonts w:ascii="Arial" w:cs="Arial" w:eastAsia="Arial" w:hAnsi="Arial"/>
          <w:color w:val="2D2D2D"/>
          <w:sz w:val="22"/>
          <w:szCs w:val="22"/>
        </w:rPr>
        <w:t xml:space="preserve">Immutable conversation log: every exchange is written to an append-only event store with timestamp, session ID, and requestor role—satisfying regulatory audit trail requirements.</w:t>
      </w:r>
    </w:p>
    <w:p>
      <w:pPr>
        <w:pStyle w:val="Heading2"/>
        <w:spacing w:before="300" w:after="120"/>
      </w:pPr>
      <w:r>
        <w:rPr>
          <w:rFonts w:ascii="Arial" w:cs="Arial" w:eastAsia="Arial" w:hAnsi="Arial"/>
          <w:b/>
          <w:bCs/>
          <w:color w:val="2C5F8A"/>
          <w:sz w:val="28"/>
          <w:szCs w:val="28"/>
        </w:rPr>
        <w:t xml:space="preserve">7.2 Structured Intake Fields by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c>
          <w:tcPr>
            <w:tcW w:type="dxa" w:w="180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Domain</w:t>
            </w:r>
          </w:p>
        </w:tc>
        <w:tc>
          <w:tcPr>
            <w:tcW w:type="dxa" w:w="420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Fields Collected</w:t>
            </w:r>
          </w:p>
        </w:tc>
        <w:tc>
          <w:tcPr>
            <w:tcW w:type="dxa" w:w="336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 / Downstream Use</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Business Context</w:t>
            </w:r>
            <w:r>
              <w:rPr>
                <w:rFonts w:ascii="Arial" w:cs="Arial" w:eastAsia="Arial" w:hAnsi="Arial"/>
                <w:color w:val="2D2D2D"/>
                <w:sz w:val="20"/>
                <w:szCs w:val="20"/>
              </w:rPr>
              <w:t xml:space="preserve"/>
            </w:r>
          </w:p>
        </w:tc>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Problem statement; affected user population; impacted business process; annual transaction volume; SLA expectations; urgency driver</w:t>
            </w:r>
          </w:p>
        </w:tc>
        <w:tc>
          <w:tcPr>
            <w:tcW w:type="dxa" w:w="3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PRD context; risk scoring; portfolio scheduling</w:t>
            </w:r>
          </w:p>
        </w:tc>
      </w:tr>
      <w:tr>
        <w:tc>
          <w:tcPr>
            <w:tcW w:type="dxa" w:w="18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Capability Definition</w:t>
            </w:r>
            <w:r>
              <w:rPr>
                <w:rFonts w:ascii="Arial" w:cs="Arial" w:eastAsia="Arial" w:hAnsi="Arial"/>
                <w:color w:val="2D2D2D"/>
                <w:sz w:val="20"/>
                <w:szCs w:val="20"/>
              </w:rPr>
              <w:t xml:space="preserve"/>
            </w:r>
          </w:p>
        </w:tc>
        <w:tc>
          <w:tcPr>
            <w:tcW w:type="dxa" w:w="42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Natural language feature description; capability category (AI/ML, productivity, analytics, integration, data, security, reporting); sub-domain classification</w:t>
            </w:r>
          </w:p>
        </w:tc>
        <w:tc>
          <w:tcPr>
            <w:tcW w:type="dxa" w:w="336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Registry semantic match; technical routing</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Value Quantification</w:t>
            </w:r>
            <w:r>
              <w:rPr>
                <w:rFonts w:ascii="Arial" w:cs="Arial" w:eastAsia="Arial" w:hAnsi="Arial"/>
                <w:color w:val="2D2D2D"/>
                <w:sz w:val="20"/>
                <w:szCs w:val="20"/>
              </w:rPr>
              <w:t xml:space="preserve"/>
            </w:r>
          </w:p>
        </w:tc>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Estimated annual business value (FTE savings, revenue uplift, risk reduction, regulatory avoidance); strategic alignment score; ROI timeframe</w:t>
            </w:r>
          </w:p>
        </w:tc>
        <w:tc>
          <w:tcPr>
            <w:tcW w:type="dxa" w:w="3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Prioritization scoring; Go/No-Go DMN input</w:t>
            </w:r>
          </w:p>
        </w:tc>
      </w:tr>
      <w:tr>
        <w:tc>
          <w:tcPr>
            <w:tcW w:type="dxa" w:w="18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Data and Privacy</w:t>
            </w:r>
            <w:r>
              <w:rPr>
                <w:rFonts w:ascii="Arial" w:cs="Arial" w:eastAsia="Arial" w:hAnsi="Arial"/>
                <w:color w:val="2D2D2D"/>
                <w:sz w:val="20"/>
                <w:szCs w:val="20"/>
              </w:rPr>
              <w:t xml:space="preserve"/>
            </w:r>
          </w:p>
        </w:tc>
        <w:tc>
          <w:tcPr>
            <w:tcW w:type="dxa" w:w="42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Data classification (PII, NPI, confidential, regulated, public); data residency; retention obligations; third-party data sharing; applicable privacy regulations</w:t>
            </w:r>
          </w:p>
        </w:tc>
        <w:tc>
          <w:tcPr>
            <w:tcW w:type="dxa" w:w="336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AI risk tier; CyberSec routing; TPRM due diligence; DPA requirement</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AI / Automation Flags</w:t>
            </w:r>
            <w:r>
              <w:rPr>
                <w:rFonts w:ascii="Arial" w:cs="Arial" w:eastAsia="Arial" w:hAnsi="Arial"/>
                <w:color w:val="2D2D2D"/>
                <w:sz w:val="20"/>
                <w:szCs w:val="20"/>
              </w:rPr>
              <w:t xml:space="preserve"/>
            </w:r>
          </w:p>
        </w:tc>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AI-enabled (Y/N); model type; training data source; inference frequency; human-in-the-loop provisions; output type (recommendation, decision, generation)</w:t>
            </w:r>
          </w:p>
        </w:tc>
        <w:tc>
          <w:tcPr>
            <w:tcW w:type="dxa" w:w="3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SR 11-7 model risk tier; AI Governance routing; observability design tier</w:t>
            </w:r>
          </w:p>
        </w:tc>
      </w:tr>
      <w:tr>
        <w:tc>
          <w:tcPr>
            <w:tcW w:type="dxa" w:w="18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Integration Requirements</w:t>
            </w:r>
            <w:r>
              <w:rPr>
                <w:rFonts w:ascii="Arial" w:cs="Arial" w:eastAsia="Arial" w:hAnsi="Arial"/>
                <w:color w:val="2D2D2D"/>
                <w:sz w:val="20"/>
                <w:szCs w:val="20"/>
              </w:rPr>
              <w:t xml:space="preserve"/>
            </w:r>
          </w:p>
        </w:tc>
        <w:tc>
          <w:tcPr>
            <w:tcW w:type="dxa" w:w="42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Systems requiring integration (CMDB lookup); API protocols; SSO/IAM requirements; data volumes and latency; network segmentation</w:t>
            </w:r>
          </w:p>
        </w:tc>
        <w:tc>
          <w:tcPr>
            <w:tcW w:type="dxa" w:w="336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Architecture review routing; build complexity estimation</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Regulatory and Compliance</w:t>
            </w:r>
            <w:r>
              <w:rPr>
                <w:rFonts w:ascii="Arial" w:cs="Arial" w:eastAsia="Arial" w:hAnsi="Arial"/>
                <w:color w:val="2D2D2D"/>
                <w:sz w:val="20"/>
                <w:szCs w:val="20"/>
              </w:rPr>
              <w:t xml:space="preserve"/>
            </w:r>
          </w:p>
        </w:tc>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Applicable regulations; specific control requirements; auditability and record retention; cross-border regulatory flags</w:t>
            </w:r>
          </w:p>
        </w:tc>
        <w:tc>
          <w:tcPr>
            <w:tcW w:type="dxa" w:w="3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Compliance governance routing; contract terms; observability retention</w:t>
            </w:r>
          </w:p>
        </w:tc>
      </w:tr>
      <w:tr>
        <w:tc>
          <w:tcPr>
            <w:tcW w:type="dxa" w:w="18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Resource and Timeline</w:t>
            </w:r>
            <w:r>
              <w:rPr>
                <w:rFonts w:ascii="Arial" w:cs="Arial" w:eastAsia="Arial" w:hAnsi="Arial"/>
                <w:color w:val="2D2D2D"/>
                <w:sz w:val="20"/>
                <w:szCs w:val="20"/>
              </w:rPr>
              <w:t xml:space="preserve"/>
            </w:r>
          </w:p>
        </w:tc>
        <w:tc>
          <w:tcPr>
            <w:tcW w:type="dxa" w:w="42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Desired go-live date; business event drivers; internal resource availability; budget range</w:t>
            </w:r>
          </w:p>
        </w:tc>
        <w:tc>
          <w:tcPr>
            <w:tcW w:type="dxa" w:w="336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Portfolio scheduling; finance engagement</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Vendor Context (Buy)</w:t>
            </w:r>
            <w:r>
              <w:rPr>
                <w:rFonts w:ascii="Arial" w:cs="Arial" w:eastAsia="Arial" w:hAnsi="Arial"/>
                <w:color w:val="2D2D2D"/>
                <w:sz w:val="20"/>
                <w:szCs w:val="20"/>
              </w:rPr>
              <w:t xml:space="preserve"/>
            </w:r>
          </w:p>
        </w:tc>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Known vendor preference; incumbent relationships; open-source consideration; prior vendor performance data</w:t>
            </w:r>
          </w:p>
        </w:tc>
        <w:tc>
          <w:tcPr>
            <w:tcW w:type="dxa" w:w="3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Vendor sourcing strategy; concentration risk assessment</w:t>
            </w:r>
          </w:p>
        </w:tc>
      </w:tr>
    </w:tbl>
    <w:p>
      <w:pPr>
        <w:pStyle w:val="Heading2"/>
        <w:spacing w:before="300" w:after="120"/>
      </w:pPr>
      <w:r>
        <w:rPr>
          <w:rFonts w:ascii="Arial" w:cs="Arial" w:eastAsia="Arial" w:hAnsi="Arial"/>
          <w:b/>
          <w:bCs/>
          <w:color w:val="2C5F8A"/>
          <w:sz w:val="28"/>
          <w:szCs w:val="28"/>
        </w:rPr>
        <w:t xml:space="preserve">7.3 Mandatory Capability Reuse Gate (DMN-15)</w:t>
      </w:r>
    </w:p>
    <w:p>
      <w:pPr>
        <w:pBdr>
          <w:left w:val="single" w:color="E65100" w:sz="12" w:space="8"/>
        </w:pBdr>
        <w:shd w:fill="FFF3E0" w:val="clear"/>
        <w:spacing w:before="160" w:after="160"/>
        <w:ind w:left="240" w:right="240"/>
      </w:pPr>
      <w:r>
        <w:rPr>
          <w:rFonts w:ascii="Arial" w:cs="Arial" w:eastAsia="Arial" w:hAnsi="Arial"/>
          <w:i/>
          <w:iCs/>
          <w:color w:val="2D2D2D"/>
          <w:sz w:val="22"/>
          <w:szCs w:val="22"/>
        </w:rPr>
        <w:t xml:space="preserve">Capability Reuse Before Net-New Build: Before any downstream design or build activity proceeds, a mandatory capability reuse evaluation must occur. This gate queries the institutional registry, tests reuse potential, and logs the decision rationale. It is governed by deterministic decision rules (DMN-15). Objective: Prevent redundancy, shorten cycle time, reduce downstream compliance effort.</w:t>
      </w:r>
    </w:p>
    <w:p>
      <w:pPr>
        <w:spacing w:after="120"/>
      </w:pPr>
      <w:r>
        <w:rPr>
          <w:rFonts w:ascii="Arial" w:cs="Arial" w:eastAsia="Arial" w:hAnsi="Arial"/>
          <w:color w:val="2D2D2D"/>
          <w:sz w:val="22"/>
          <w:szCs w:val="22"/>
        </w:rPr>
        <w:t xml:space="preserve">The Capability Reuse Gate is a </w:t>
      </w:r>
      <w:r>
        <w:rPr>
          <w:rFonts w:ascii="Arial" w:cs="Arial" w:eastAsia="Arial" w:hAnsi="Arial"/>
          <w:b/>
          <w:bCs/>
          <w:color w:val="2D2D2D"/>
          <w:sz w:val="22"/>
          <w:szCs w:val="22"/>
        </w:rPr>
        <w:t xml:space="preserve">Deterministic Agent-Enabled (DA)</w:t>
      </w:r>
      <w:r>
        <w:rPr>
          <w:rFonts w:ascii="Arial" w:cs="Arial" w:eastAsia="Arial" w:hAnsi="Arial"/>
          <w:color w:val="2D2D2D"/>
          <w:sz w:val="22"/>
          <w:szCs w:val="22"/>
        </w:rPr>
        <w:t xml:space="preserve"> task that fires automatically after the Intake Bot has collected sufficient capability definition data. It executes the following sequence:</w:t>
      </w:r>
    </w:p>
    <w:p>
      <w:pPr>
        <w:pStyle w:val="ListParagraph"/>
        <w:numPr>
          <w:ilvl w:val="0"/>
          <w:numId w:val="2"/>
        </w:numPr>
        <w:spacing w:after="60"/>
      </w:pPr>
      <w:r>
        <w:rPr>
          <w:rFonts w:ascii="Arial" w:cs="Arial" w:eastAsia="Arial" w:hAnsi="Arial"/>
          <w:color w:val="2D2D2D"/>
          <w:sz w:val="22"/>
          <w:szCs w:val="22"/>
        </w:rPr>
        <w:t xml:space="preserve"/>
      </w:r>
      <w:r>
        <w:rPr>
          <w:rFonts w:ascii="Arial" w:cs="Arial" w:eastAsia="Arial" w:hAnsi="Arial"/>
          <w:b/>
          <w:bCs/>
          <w:color w:val="2D2D2D"/>
          <w:sz w:val="22"/>
          <w:szCs w:val="22"/>
        </w:rPr>
        <w:t xml:space="preserve">Step 1: Registry Query.</w:t>
      </w:r>
      <w:r>
        <w:rPr>
          <w:rFonts w:ascii="Arial" w:cs="Arial" w:eastAsia="Arial" w:hAnsi="Arial"/>
          <w:color w:val="2D2D2D"/>
          <w:sz w:val="22"/>
          <w:szCs w:val="22"/>
        </w:rPr>
        <w:t xml:space="preserve"> The agent queries the Software Registry using the capability description, category, sub-domain, and integration requirements. Semantic similarity scoring is applied against all active, in-flight, and retired assets. </w:t>
      </w:r>
      <w:r>
        <w:rPr>
          <w:rFonts w:ascii="Arial" w:cs="Arial" w:eastAsia="Arial" w:hAnsi="Arial"/>
          <w:b/>
          <w:bCs/>
          <w:color w:val="2D2D2D"/>
          <w:sz w:val="22"/>
          <w:szCs w:val="22"/>
        </w:rPr>
        <w:t xml:space="preserve">(A)</w:t>
      </w:r>
      <w:r>
        <w:rPr>
          <w:rFonts w:ascii="Arial" w:cs="Arial" w:eastAsia="Arial" w:hAnsi="Arial"/>
          <w:color w:val="2D2D2D"/>
          <w:sz w:val="22"/>
          <w:szCs w:val="22"/>
        </w:rPr>
        <w:t xml:space="preserve"/>
      </w:r>
    </w:p>
    <w:p>
      <w:pPr>
        <w:pStyle w:val="ListParagraph"/>
        <w:numPr>
          <w:ilvl w:val="0"/>
          <w:numId w:val="2"/>
        </w:numPr>
        <w:spacing w:after="60"/>
      </w:pPr>
      <w:r>
        <w:rPr>
          <w:rFonts w:ascii="Arial" w:cs="Arial" w:eastAsia="Arial" w:hAnsi="Arial"/>
          <w:color w:val="2D2D2D"/>
          <w:sz w:val="22"/>
          <w:szCs w:val="22"/>
        </w:rPr>
        <w:t xml:space="preserve"/>
      </w:r>
      <w:r>
        <w:rPr>
          <w:rFonts w:ascii="Arial" w:cs="Arial" w:eastAsia="Arial" w:hAnsi="Arial"/>
          <w:b/>
          <w:bCs/>
          <w:color w:val="2D2D2D"/>
          <w:sz w:val="22"/>
          <w:szCs w:val="22"/>
        </w:rPr>
        <w:t xml:space="preserve">Step 2: Reuse Potential Test.</w:t>
      </w:r>
      <w:r>
        <w:rPr>
          <w:rFonts w:ascii="Arial" w:cs="Arial" w:eastAsia="Arial" w:hAnsi="Arial"/>
          <w:color w:val="2D2D2D"/>
          <w:sz w:val="22"/>
          <w:szCs w:val="22"/>
        </w:rPr>
        <w:t xml:space="preserve"> For matches scoring above 70%, the agent evaluates reuse potential by comparing functional requirements, integration compatibility, license availability, and security posture against the new request. </w:t>
      </w:r>
      <w:r>
        <w:rPr>
          <w:rFonts w:ascii="Arial" w:cs="Arial" w:eastAsia="Arial" w:hAnsi="Arial"/>
          <w:b/>
          <w:bCs/>
          <w:color w:val="2D2D2D"/>
          <w:sz w:val="22"/>
          <w:szCs w:val="22"/>
        </w:rPr>
        <w:t xml:space="preserve">(DA)</w:t>
      </w:r>
      <w:r>
        <w:rPr>
          <w:rFonts w:ascii="Arial" w:cs="Arial" w:eastAsia="Arial" w:hAnsi="Arial"/>
          <w:color w:val="2D2D2D"/>
          <w:sz w:val="22"/>
          <w:szCs w:val="22"/>
        </w:rPr>
        <w:t xml:space="preserve"/>
      </w:r>
    </w:p>
    <w:p>
      <w:pPr>
        <w:pStyle w:val="ListParagraph"/>
        <w:numPr>
          <w:ilvl w:val="0"/>
          <w:numId w:val="2"/>
        </w:numPr>
        <w:spacing w:after="60"/>
      </w:pPr>
      <w:r>
        <w:rPr>
          <w:rFonts w:ascii="Arial" w:cs="Arial" w:eastAsia="Arial" w:hAnsi="Arial"/>
          <w:color w:val="2D2D2D"/>
          <w:sz w:val="22"/>
          <w:szCs w:val="22"/>
        </w:rPr>
        <w:t xml:space="preserve"/>
      </w:r>
      <w:r>
        <w:rPr>
          <w:rFonts w:ascii="Arial" w:cs="Arial" w:eastAsia="Arial" w:hAnsi="Arial"/>
          <w:b/>
          <w:bCs/>
          <w:color w:val="2D2D2D"/>
          <w:sz w:val="22"/>
          <w:szCs w:val="22"/>
        </w:rPr>
        <w:t xml:space="preserve">Step 3: Decision Rationale Logging.</w:t>
      </w:r>
      <w:r>
        <w:rPr>
          <w:rFonts w:ascii="Arial" w:cs="Arial" w:eastAsia="Arial" w:hAnsi="Arial"/>
          <w:color w:val="2D2D2D"/>
          <w:sz w:val="22"/>
          <w:szCs w:val="22"/>
        </w:rPr>
        <w:t xml:space="preserve"> The reuse evaluation result, match scores, and decision rationale are logged to the decision audit trail with full provenance (registry version, query timestamp, agent version, knowledge base version). </w:t>
      </w:r>
      <w:r>
        <w:rPr>
          <w:rFonts w:ascii="Arial" w:cs="Arial" w:eastAsia="Arial" w:hAnsi="Arial"/>
          <w:b/>
          <w:bCs/>
          <w:color w:val="2D2D2D"/>
          <w:sz w:val="22"/>
          <w:szCs w:val="22"/>
        </w:rPr>
        <w:t xml:space="preserve">(A)</w:t>
      </w:r>
      <w:r>
        <w:rPr>
          <w:rFonts w:ascii="Arial" w:cs="Arial" w:eastAsia="Arial" w:hAnsi="Arial"/>
          <w:color w:val="2D2D2D"/>
          <w:sz w:val="22"/>
          <w:szCs w:val="22"/>
        </w:rPr>
        <w:t xml:space="preserve"/>
      </w:r>
    </w:p>
    <w:p>
      <w:pPr>
        <w:spacing w:after="120"/>
      </w:pPr>
      <w:r>
        <w:rPr>
          <w:rFonts w:ascii="Arial" w:cs="Arial" w:eastAsia="Arial" w:hAnsi="Arial"/>
          <w:color w:val="2D2D2D"/>
          <w:sz w:val="22"/>
          <w:szCs w:val="22"/>
        </w:rPr>
        <w:t xml:space="preserve">DMN-15 governs the reuse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1400"/>
        <w:gridCol w:w="1400"/>
        <w:gridCol w:w="1460"/>
        <w:gridCol w:w="1500"/>
        <w:gridCol w:w="1500"/>
      </w:tblGrid>
      <w:tr>
        <w:tc>
          <w:tcPr>
            <w:tcW w:type="dxa" w:w="70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140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Registry Match</w:t>
            </w:r>
          </w:p>
        </w:tc>
        <w:tc>
          <w:tcPr>
            <w:tcW w:type="dxa" w:w="140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Functional Fit</w:t>
            </w:r>
          </w:p>
        </w:tc>
        <w:tc>
          <w:tcPr>
            <w:tcW w:type="dxa" w:w="140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License Avail.</w:t>
            </w:r>
          </w:p>
        </w:tc>
        <w:tc>
          <w:tcPr>
            <w:tcW w:type="dxa" w:w="146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Decision</w:t>
            </w:r>
          </w:p>
        </w:tc>
        <w:tc>
          <w:tcPr>
            <w:tcW w:type="dxa" w:w="150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150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Task Type</w:t>
            </w:r>
          </w:p>
        </w:tc>
      </w:tr>
      <w:tr>
        <w:tc>
          <w:tcPr>
            <w:tcW w:type="dxa" w:w="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1</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&gt;90%</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Full</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Available</w:t>
            </w:r>
          </w:p>
        </w:tc>
        <w:tc>
          <w:tcPr>
            <w:tcW w:type="dxa" w:w="14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REUSE—REDIRECT</w:t>
            </w:r>
            <w:r>
              <w:rPr>
                <w:rFonts w:ascii="Arial" w:cs="Arial" w:eastAsia="Arial" w:hAnsi="Arial"/>
                <w:color w:val="2D2D2D"/>
                <w:sz w:val="20"/>
                <w:szCs w:val="20"/>
              </w:rPr>
              <w:t xml:space="preserve"/>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Redirect to ITSM; close intake</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A</w:t>
            </w:r>
          </w:p>
        </w:tc>
      </w:tr>
      <w:tr>
        <w:tc>
          <w:tcPr>
            <w:tcW w:type="dxa" w:w="7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2</w:t>
            </w:r>
          </w:p>
        </w:tc>
        <w:tc>
          <w:tcPr>
            <w:tcW w:type="dxa" w:w="14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70–90%</w:t>
            </w:r>
          </w:p>
        </w:tc>
        <w:tc>
          <w:tcPr>
            <w:tcW w:type="dxa" w:w="14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Partial</w:t>
            </w:r>
          </w:p>
        </w:tc>
        <w:tc>
          <w:tcPr>
            <w:tcW w:type="dxa" w:w="14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Available</w:t>
            </w:r>
          </w:p>
        </w:tc>
        <w:tc>
          <w:tcPr>
            <w:tcW w:type="dxa" w:w="146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REUSE ASSESSMENT</w:t>
            </w:r>
            <w:r>
              <w:rPr>
                <w:rFonts w:ascii="Arial" w:cs="Arial" w:eastAsia="Arial" w:hAnsi="Arial"/>
                <w:color w:val="2D2D2D"/>
                <w:sz w:val="20"/>
                <w:szCs w:val="20"/>
              </w:rPr>
              <w:t xml:space="preserve"/>
            </w:r>
          </w:p>
        </w:tc>
        <w:tc>
          <w:tcPr>
            <w:tcW w:type="dxa" w:w="15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Schedule structured assessment within 5 business days</w:t>
            </w:r>
          </w:p>
        </w:tc>
        <w:tc>
          <w:tcPr>
            <w:tcW w:type="dxa" w:w="15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H</w:t>
            </w:r>
          </w:p>
        </w:tc>
      </w:tr>
      <w:tr>
        <w:tc>
          <w:tcPr>
            <w:tcW w:type="dxa" w:w="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3</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70–90%</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Any</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Unavailable</w:t>
            </w:r>
          </w:p>
        </w:tc>
        <w:tc>
          <w:tcPr>
            <w:tcW w:type="dxa" w:w="14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EVALUATE EXPANSION</w:t>
            </w:r>
            <w:r>
              <w:rPr>
                <w:rFonts w:ascii="Arial" w:cs="Arial" w:eastAsia="Arial" w:hAnsi="Arial"/>
                <w:color w:val="2D2D2D"/>
                <w:sz w:val="20"/>
                <w:szCs w:val="20"/>
              </w:rPr>
              <w:t xml:space="preserve"/>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Procurement evaluates license expansion vs. net-new</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H</w:t>
            </w:r>
          </w:p>
        </w:tc>
      </w:tr>
      <w:tr>
        <w:tc>
          <w:tcPr>
            <w:tcW w:type="dxa" w:w="7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4</w:t>
            </w:r>
          </w:p>
        </w:tc>
        <w:tc>
          <w:tcPr>
            <w:tcW w:type="dxa" w:w="14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&lt;70%</w:t>
            </w:r>
          </w:p>
        </w:tc>
        <w:tc>
          <w:tcPr>
            <w:tcW w:type="dxa" w:w="14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N/A</w:t>
            </w:r>
          </w:p>
        </w:tc>
        <w:tc>
          <w:tcPr>
            <w:tcW w:type="dxa" w:w="14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N/A</w:t>
            </w:r>
          </w:p>
        </w:tc>
        <w:tc>
          <w:tcPr>
            <w:tcW w:type="dxa" w:w="146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PROCEED AS NEW</w:t>
            </w:r>
            <w:r>
              <w:rPr>
                <w:rFonts w:ascii="Arial" w:cs="Arial" w:eastAsia="Arial" w:hAnsi="Arial"/>
                <w:color w:val="2D2D2D"/>
                <w:sz w:val="20"/>
                <w:szCs w:val="20"/>
              </w:rPr>
              <w:t xml:space="preserve"/>
            </w:r>
          </w:p>
        </w:tc>
        <w:tc>
          <w:tcPr>
            <w:tcW w:type="dxa" w:w="15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Continue to risk classification and routing</w:t>
            </w:r>
          </w:p>
        </w:tc>
        <w:tc>
          <w:tcPr>
            <w:tcW w:type="dxa" w:w="15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A</w:t>
            </w:r>
          </w:p>
        </w:tc>
      </w:tr>
      <w:tr>
        <w:tc>
          <w:tcPr>
            <w:tcW w:type="dxa" w:w="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5</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Retired match</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N/A</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N/A</w:t>
            </w:r>
          </w:p>
        </w:tc>
        <w:tc>
          <w:tcPr>
            <w:tcW w:type="dxa" w:w="14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SURFACE RATIONALE</w:t>
            </w:r>
            <w:r>
              <w:rPr>
                <w:rFonts w:ascii="Arial" w:cs="Arial" w:eastAsia="Arial" w:hAnsi="Arial"/>
                <w:color w:val="2D2D2D"/>
                <w:sz w:val="20"/>
                <w:szCs w:val="20"/>
              </w:rPr>
              <w:t xml:space="preserve"/>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Decommission rationale surfaced; proceed as new with rationale logged</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DA</w:t>
            </w:r>
          </w:p>
        </w:tc>
      </w:tr>
    </w:tbl>
    <w:p>
      <w:pPr>
        <w:pStyle w:val="Heading2"/>
        <w:spacing w:before="300" w:after="120"/>
      </w:pPr>
      <w:r>
        <w:rPr>
          <w:rFonts w:ascii="Arial" w:cs="Arial" w:eastAsia="Arial" w:hAnsi="Arial"/>
          <w:b/>
          <w:bCs/>
          <w:color w:val="2C5F8A"/>
          <w:sz w:val="28"/>
          <w:szCs w:val="28"/>
        </w:rPr>
        <w:t xml:space="preserve">7.4 Concurrent AI Risk Assessment: Five-Dimension Classification</w:t>
      </w:r>
    </w:p>
    <w:p>
      <w:pPr>
        <w:spacing w:after="120"/>
      </w:pPr>
      <w:r>
        <w:rPr>
          <w:rFonts w:ascii="Arial" w:cs="Arial" w:eastAsia="Arial" w:hAnsi="Arial"/>
          <w:color w:val="2D2D2D"/>
          <w:sz w:val="22"/>
          <w:szCs w:val="22"/>
        </w:rPr>
        <w:t xml:space="preserve">While the Intake Bot elicits intake information and the Capability Reuse Gate executes, a parallel, automated risk assessment engine classifies the request across five dimensions simultaneously. This classification—not a post-submission review—determines the governance depth, approval authority, and observability requirements from the outset. Task type: </w:t>
      </w:r>
      <w:r>
        <w:rPr>
          <w:rFonts w:ascii="Arial" w:cs="Arial" w:eastAsia="Arial" w:hAnsi="Arial"/>
          <w:b/>
          <w:bCs/>
          <w:color w:val="2D2D2D"/>
          <w:sz w:val="22"/>
          <w:szCs w:val="22"/>
        </w:rPr>
        <w:t xml:space="preserve">Automated (A)</w:t>
      </w:r>
      <w:r>
        <w:rPr>
          <w:rFonts w:ascii="Arial" w:cs="Arial" w:eastAsia="Arial" w:hAnsi="Arial"/>
          <w:color w:val="2D2D2D"/>
          <w:sz w:val="22"/>
          <w:szCs w:val="22"/>
        </w:rPr>
        <w:t xml:space="preserve"> with </w:t>
      </w:r>
      <w:r>
        <w:rPr>
          <w:rFonts w:ascii="Arial" w:cs="Arial" w:eastAsia="Arial" w:hAnsi="Arial"/>
          <w:b/>
          <w:bCs/>
          <w:color w:val="2D2D2D"/>
          <w:sz w:val="22"/>
          <w:szCs w:val="22"/>
        </w:rPr>
        <w:t xml:space="preserve">Deterministic Agent-Enabled (DA)</w:t>
      </w:r>
      <w:r>
        <w:rPr>
          <w:rFonts w:ascii="Arial" w:cs="Arial" w:eastAsia="Arial" w:hAnsi="Arial"/>
          <w:color w:val="2D2D2D"/>
          <w:sz w:val="22"/>
          <w:szCs w:val="22"/>
        </w:rPr>
        <w:t xml:space="preserve"> enrichment for complex classifications.</w:t>
      </w:r>
    </w:p>
    <w:p>
      <w:pPr>
        <w:pStyle w:val="ListParagraph"/>
        <w:numPr>
          <w:ilvl w:val="0"/>
          <w:numId w:val="2"/>
        </w:numPr>
        <w:spacing w:after="60"/>
      </w:pPr>
      <w:r>
        <w:rPr>
          <w:rFonts w:ascii="Arial" w:cs="Arial" w:eastAsia="Arial" w:hAnsi="Arial"/>
          <w:color w:val="2D2D2D"/>
          <w:sz w:val="22"/>
          <w:szCs w:val="22"/>
        </w:rPr>
        <w:t xml:space="preserve"/>
      </w:r>
      <w:r>
        <w:rPr>
          <w:rFonts w:ascii="Arial" w:cs="Arial" w:eastAsia="Arial" w:hAnsi="Arial"/>
          <w:b/>
          <w:bCs/>
          <w:color w:val="2D2D2D"/>
          <w:sz w:val="22"/>
          <w:szCs w:val="22"/>
        </w:rPr>
        <w:t xml:space="preserve">Dimension 1: Model Risk Tier (SR 11-7 / NIST AI RMF).</w:t>
      </w:r>
      <w:r>
        <w:rPr>
          <w:rFonts w:ascii="Arial" w:cs="Arial" w:eastAsia="Arial" w:hAnsi="Arial"/>
          <w:color w:val="2D2D2D"/>
          <w:sz w:val="22"/>
          <w:szCs w:val="22"/>
        </w:rPr>
        <w:t xml:space="preserve"> Tier 1 (High): model outputs materially influence credit underwriting, regulatory capital, fraud decisioning, or consumer-facing compliance decisions. Requires independent validation, MRM Committee approval, Board-level reporting, full observability, executive sponsor sign-off. Tier 2 (Moderate): material operational impact, not directly embedded in regulated financial decisions. Tier 3 (Low): automation/productivity tools with no model risk exposure.</w:t>
      </w:r>
    </w:p>
    <w:p>
      <w:pPr>
        <w:pStyle w:val="ListParagraph"/>
        <w:numPr>
          <w:ilvl w:val="0"/>
          <w:numId w:val="2"/>
        </w:numPr>
        <w:spacing w:after="60"/>
      </w:pPr>
      <w:r>
        <w:rPr>
          <w:rFonts w:ascii="Arial" w:cs="Arial" w:eastAsia="Arial" w:hAnsi="Arial"/>
          <w:color w:val="2D2D2D"/>
          <w:sz w:val="22"/>
          <w:szCs w:val="22"/>
        </w:rPr>
        <w:t xml:space="preserve"/>
      </w:r>
      <w:r>
        <w:rPr>
          <w:rFonts w:ascii="Arial" w:cs="Arial" w:eastAsia="Arial" w:hAnsi="Arial"/>
          <w:b/>
          <w:bCs/>
          <w:color w:val="2D2D2D"/>
          <w:sz w:val="22"/>
          <w:szCs w:val="22"/>
        </w:rPr>
        <w:t xml:space="preserve">Dimension 2: Data Privacy and Residency Risk.</w:t>
      </w:r>
      <w:r>
        <w:rPr>
          <w:rFonts w:ascii="Arial" w:cs="Arial" w:eastAsia="Arial" w:hAnsi="Arial"/>
          <w:color w:val="2D2D2D"/>
          <w:sz w:val="22"/>
          <w:szCs w:val="22"/>
        </w:rPr>
        <w:t xml:space="preserve"> PII/NPI handling triggers GDPR/CCPA/GLB compliance review, mandatory DPA, data residency verification, and deletion/portability provisions.</w:t>
      </w:r>
    </w:p>
    <w:p>
      <w:pPr>
        <w:pStyle w:val="ListParagraph"/>
        <w:numPr>
          <w:ilvl w:val="0"/>
          <w:numId w:val="2"/>
        </w:numPr>
        <w:spacing w:after="60"/>
      </w:pPr>
      <w:r>
        <w:rPr>
          <w:rFonts w:ascii="Arial" w:cs="Arial" w:eastAsia="Arial" w:hAnsi="Arial"/>
          <w:color w:val="2D2D2D"/>
          <w:sz w:val="22"/>
          <w:szCs w:val="22"/>
        </w:rPr>
        <w:t xml:space="preserve"/>
      </w:r>
      <w:r>
        <w:rPr>
          <w:rFonts w:ascii="Arial" w:cs="Arial" w:eastAsia="Arial" w:hAnsi="Arial"/>
          <w:b/>
          <w:bCs/>
          <w:color w:val="2D2D2D"/>
          <w:sz w:val="22"/>
          <w:szCs w:val="22"/>
        </w:rPr>
        <w:t xml:space="preserve">Dimension 3: Cybersecurity Risk Score.</w:t>
      </w:r>
      <w:r>
        <w:rPr>
          <w:rFonts w:ascii="Arial" w:cs="Arial" w:eastAsia="Arial" w:hAnsi="Arial"/>
          <w:color w:val="2D2D2D"/>
          <w:sz w:val="22"/>
          <w:szCs w:val="22"/>
        </w:rPr>
        <w:t xml:space="preserve"> Composite score across external connectivity, authentication model, data sensitivity, network segmentation, and incident response obligations.</w:t>
      </w:r>
    </w:p>
    <w:p>
      <w:pPr>
        <w:pStyle w:val="ListParagraph"/>
        <w:numPr>
          <w:ilvl w:val="0"/>
          <w:numId w:val="2"/>
        </w:numPr>
        <w:spacing w:after="60"/>
      </w:pPr>
      <w:r>
        <w:rPr>
          <w:rFonts w:ascii="Arial" w:cs="Arial" w:eastAsia="Arial" w:hAnsi="Arial"/>
          <w:color w:val="2D2D2D"/>
          <w:sz w:val="22"/>
          <w:szCs w:val="22"/>
        </w:rPr>
        <w:t xml:space="preserve"/>
      </w:r>
      <w:r>
        <w:rPr>
          <w:rFonts w:ascii="Arial" w:cs="Arial" w:eastAsia="Arial" w:hAnsi="Arial"/>
          <w:b/>
          <w:bCs/>
          <w:color w:val="2D2D2D"/>
          <w:sz w:val="22"/>
          <w:szCs w:val="22"/>
        </w:rPr>
        <w:t xml:space="preserve">Dimension 4: Operational and Concentration Risk.</w:t>
      </w:r>
      <w:r>
        <w:rPr>
          <w:rFonts w:ascii="Arial" w:cs="Arial" w:eastAsia="Arial" w:hAnsi="Arial"/>
          <w:color w:val="2D2D2D"/>
          <w:sz w:val="22"/>
          <w:szCs w:val="22"/>
        </w:rPr>
        <w:t xml:space="preserve"> Critical activity designation per OCC definition; concentration risk assessment per BCBS d577.</w:t>
      </w:r>
    </w:p>
    <w:p>
      <w:pPr>
        <w:pStyle w:val="ListParagraph"/>
        <w:numPr>
          <w:ilvl w:val="0"/>
          <w:numId w:val="2"/>
        </w:numPr>
        <w:spacing w:after="60"/>
      </w:pPr>
      <w:r>
        <w:rPr>
          <w:rFonts w:ascii="Arial" w:cs="Arial" w:eastAsia="Arial" w:hAnsi="Arial"/>
          <w:color w:val="2D2D2D"/>
          <w:sz w:val="22"/>
          <w:szCs w:val="22"/>
        </w:rPr>
        <w:t xml:space="preserve"/>
      </w:r>
      <w:r>
        <w:rPr>
          <w:rFonts w:ascii="Arial" w:cs="Arial" w:eastAsia="Arial" w:hAnsi="Arial"/>
          <w:b/>
          <w:bCs/>
          <w:color w:val="2D2D2D"/>
          <w:sz w:val="22"/>
          <w:szCs w:val="22"/>
        </w:rPr>
        <w:t xml:space="preserve">Dimension 5: Regulatory Classification.</w:t>
      </w:r>
      <w:r>
        <w:rPr>
          <w:rFonts w:ascii="Arial" w:cs="Arial" w:eastAsia="Arial" w:hAnsi="Arial"/>
          <w:color w:val="2D2D2D"/>
          <w:sz w:val="22"/>
          <w:szCs w:val="22"/>
        </w:rPr>
        <w:t xml:space="preserve"> Automated tagging of applicable regulatory frameworks based on business function, data types, AI flags, and distribution channel.</w:t>
      </w:r>
    </w:p>
    <w:p>
      <w:pPr>
        <w:pStyle w:val="Heading2"/>
        <w:spacing w:before="300" w:after="120"/>
      </w:pPr>
      <w:r>
        <w:rPr>
          <w:rFonts w:ascii="Arial" w:cs="Arial" w:eastAsia="Arial" w:hAnsi="Arial"/>
          <w:b/>
          <w:bCs/>
          <w:color w:val="2C5F8A"/>
          <w:sz w:val="28"/>
          <w:szCs w:val="28"/>
        </w:rPr>
        <w:t xml:space="preserve">7.5 Early Deterministic Compliance and Risk Validation</w:t>
      </w:r>
    </w:p>
    <w:p>
      <w:pPr>
        <w:pBdr>
          <w:left w:val="single" w:color="E65100" w:sz="12" w:space="8"/>
        </w:pBdr>
        <w:shd w:fill="FFF3E0" w:val="clear"/>
        <w:spacing w:before="160" w:after="160"/>
        <w:ind w:left="240" w:right="240"/>
      </w:pPr>
      <w:r>
        <w:rPr>
          <w:rFonts w:ascii="Arial" w:cs="Arial" w:eastAsia="Arial" w:hAnsi="Arial"/>
          <w:i/>
          <w:iCs/>
          <w:color w:val="2D2D2D"/>
          <w:sz w:val="22"/>
          <w:szCs w:val="22"/>
        </w:rPr>
        <w:t xml:space="preserve">Shift Compliance Left: Compliance and risk evaluation occurs at intake—not as a late-stage gate. All compliance inputs come from deterministic, auditable knowledge bases. No informal email-based validation loops. Agent-enabled analysis supports RFP review, testing requirements, and risk classification, but all inputs are traceable to versioned knowledge bases.</w:t>
      </w:r>
    </w:p>
    <w:p>
      <w:pPr>
        <w:spacing w:after="120"/>
      </w:pPr>
      <w:r>
        <w:rPr>
          <w:rFonts w:ascii="Arial" w:cs="Arial" w:eastAsia="Arial" w:hAnsi="Arial"/>
          <w:color w:val="2D2D2D"/>
          <w:sz w:val="22"/>
          <w:szCs w:val="22"/>
        </w:rPr>
        <w:t xml:space="preserve">The following compliance checks fire during Phase 1 as </w:t>
      </w:r>
      <w:r>
        <w:rPr>
          <w:rFonts w:ascii="Arial" w:cs="Arial" w:eastAsia="Arial" w:hAnsi="Arial"/>
          <w:b/>
          <w:bCs/>
          <w:color w:val="2D2D2D"/>
          <w:sz w:val="22"/>
          <w:szCs w:val="22"/>
        </w:rPr>
        <w:t xml:space="preserve">Deterministic Agent-Enabled (DA)</w:t>
      </w:r>
      <w:r>
        <w:rPr>
          <w:rFonts w:ascii="Arial" w:cs="Arial" w:eastAsia="Arial" w:hAnsi="Arial"/>
          <w:color w:val="2D2D2D"/>
          <w:sz w:val="22"/>
          <w:szCs w:val="22"/>
        </w:rPr>
        <w:t xml:space="preserve"> tasks:</w:t>
      </w:r>
    </w:p>
    <w:p>
      <w:pPr>
        <w:pStyle w:val="ListParagraph"/>
        <w:numPr>
          <w:ilvl w:val="0"/>
          <w:numId w:val="2"/>
        </w:numPr>
        <w:spacing w:after="60"/>
      </w:pPr>
      <w:r>
        <w:rPr>
          <w:rFonts w:ascii="Arial" w:cs="Arial" w:eastAsia="Arial" w:hAnsi="Arial"/>
          <w:color w:val="2D2D2D"/>
          <w:sz w:val="22"/>
          <w:szCs w:val="22"/>
        </w:rPr>
        <w:t xml:space="preserve"/>
      </w:r>
      <w:r>
        <w:rPr>
          <w:rFonts w:ascii="Arial" w:cs="Arial" w:eastAsia="Arial" w:hAnsi="Arial"/>
          <w:b/>
          <w:bCs/>
          <w:color w:val="2D2D2D"/>
          <w:sz w:val="22"/>
          <w:szCs w:val="22"/>
        </w:rPr>
        <w:t xml:space="preserve">Regulatory applicability scan:</w:t>
      </w:r>
      <w:r>
        <w:rPr>
          <w:rFonts w:ascii="Arial" w:cs="Arial" w:eastAsia="Arial" w:hAnsi="Arial"/>
          <w:color w:val="2D2D2D"/>
          <w:sz w:val="22"/>
          <w:szCs w:val="22"/>
        </w:rPr>
        <w:t xml:space="preserve"> Agent queries the Regulatory Requirements Knowledge Base to identify all applicable regulations based on business function, data types, AI flags, and jurisdiction. Output: structured list of regulatory obligations with citation. </w:t>
      </w:r>
      <w:r>
        <w:rPr>
          <w:rFonts w:ascii="Arial" w:cs="Arial" w:eastAsia="Arial" w:hAnsi="Arial"/>
          <w:b/>
          <w:bCs/>
          <w:color w:val="2D2D2D"/>
          <w:sz w:val="22"/>
          <w:szCs w:val="22"/>
        </w:rPr>
        <w:t xml:space="preserve">(DA)</w:t>
      </w:r>
      <w:r>
        <w:rPr>
          <w:rFonts w:ascii="Arial" w:cs="Arial" w:eastAsia="Arial" w:hAnsi="Arial"/>
          <w:color w:val="2D2D2D"/>
          <w:sz w:val="22"/>
          <w:szCs w:val="22"/>
        </w:rPr>
        <w:t xml:space="preserve"/>
      </w:r>
    </w:p>
    <w:p>
      <w:pPr>
        <w:pStyle w:val="ListParagraph"/>
        <w:numPr>
          <w:ilvl w:val="0"/>
          <w:numId w:val="2"/>
        </w:numPr>
        <w:spacing w:after="60"/>
      </w:pPr>
      <w:r>
        <w:rPr>
          <w:rFonts w:ascii="Arial" w:cs="Arial" w:eastAsia="Arial" w:hAnsi="Arial"/>
          <w:color w:val="2D2D2D"/>
          <w:sz w:val="22"/>
          <w:szCs w:val="22"/>
        </w:rPr>
        <w:t xml:space="preserve"/>
      </w:r>
      <w:r>
        <w:rPr>
          <w:rFonts w:ascii="Arial" w:cs="Arial" w:eastAsia="Arial" w:hAnsi="Arial"/>
          <w:b/>
          <w:bCs/>
          <w:color w:val="2D2D2D"/>
          <w:sz w:val="22"/>
          <w:szCs w:val="22"/>
        </w:rPr>
        <w:t xml:space="preserve">Data classification validation:</w:t>
      </w:r>
      <w:r>
        <w:rPr>
          <w:rFonts w:ascii="Arial" w:cs="Arial" w:eastAsia="Arial" w:hAnsi="Arial"/>
          <w:color w:val="2D2D2D"/>
          <w:sz w:val="22"/>
          <w:szCs w:val="22"/>
        </w:rPr>
        <w:t xml:space="preserve"> Agent validates data classification against the Data Governance Knowledge Base. If PII/NPI is flagged, mandatory DPA and privacy review requirements are auto-populated. </w:t>
      </w:r>
      <w:r>
        <w:rPr>
          <w:rFonts w:ascii="Arial" w:cs="Arial" w:eastAsia="Arial" w:hAnsi="Arial"/>
          <w:b/>
          <w:bCs/>
          <w:color w:val="2D2D2D"/>
          <w:sz w:val="22"/>
          <w:szCs w:val="22"/>
        </w:rPr>
        <w:t xml:space="preserve">(DA)</w:t>
      </w:r>
      <w:r>
        <w:rPr>
          <w:rFonts w:ascii="Arial" w:cs="Arial" w:eastAsia="Arial" w:hAnsi="Arial"/>
          <w:color w:val="2D2D2D"/>
          <w:sz w:val="22"/>
          <w:szCs w:val="22"/>
        </w:rPr>
        <w:t xml:space="preserve"/>
      </w:r>
    </w:p>
    <w:p>
      <w:pPr>
        <w:pStyle w:val="ListParagraph"/>
        <w:numPr>
          <w:ilvl w:val="0"/>
          <w:numId w:val="2"/>
        </w:numPr>
        <w:spacing w:after="60"/>
      </w:pPr>
      <w:r>
        <w:rPr>
          <w:rFonts w:ascii="Arial" w:cs="Arial" w:eastAsia="Arial" w:hAnsi="Arial"/>
          <w:color w:val="2D2D2D"/>
          <w:sz w:val="22"/>
          <w:szCs w:val="22"/>
        </w:rPr>
        <w:t xml:space="preserve"/>
      </w:r>
      <w:r>
        <w:rPr>
          <w:rFonts w:ascii="Arial" w:cs="Arial" w:eastAsia="Arial" w:hAnsi="Arial"/>
          <w:b/>
          <w:bCs/>
          <w:color w:val="2D2D2D"/>
          <w:sz w:val="22"/>
          <w:szCs w:val="22"/>
        </w:rPr>
        <w:t xml:space="preserve">AI risk tier assignment (DMN-09):</w:t>
      </w:r>
      <w:r>
        <w:rPr>
          <w:rFonts w:ascii="Arial" w:cs="Arial" w:eastAsia="Arial" w:hAnsi="Arial"/>
          <w:color w:val="2D2D2D"/>
          <w:sz w:val="22"/>
          <w:szCs w:val="22"/>
        </w:rPr>
        <w:t xml:space="preserve"> Deterministic classification of AI risk tier based on decision materiality, regulatory impact, and model complexity. </w:t>
      </w:r>
      <w:r>
        <w:rPr>
          <w:rFonts w:ascii="Arial" w:cs="Arial" w:eastAsia="Arial" w:hAnsi="Arial"/>
          <w:b/>
          <w:bCs/>
          <w:color w:val="2D2D2D"/>
          <w:sz w:val="22"/>
          <w:szCs w:val="22"/>
        </w:rPr>
        <w:t xml:space="preserve">(A)</w:t>
      </w:r>
      <w:r>
        <w:rPr>
          <w:rFonts w:ascii="Arial" w:cs="Arial" w:eastAsia="Arial" w:hAnsi="Arial"/>
          <w:color w:val="2D2D2D"/>
          <w:sz w:val="22"/>
          <w:szCs w:val="22"/>
        </w:rPr>
        <w:t xml:space="preserve"/>
      </w:r>
    </w:p>
    <w:p>
      <w:pPr>
        <w:pStyle w:val="ListParagraph"/>
        <w:numPr>
          <w:ilvl w:val="0"/>
          <w:numId w:val="2"/>
        </w:numPr>
        <w:spacing w:after="60"/>
      </w:pPr>
      <w:r>
        <w:rPr>
          <w:rFonts w:ascii="Arial" w:cs="Arial" w:eastAsia="Arial" w:hAnsi="Arial"/>
          <w:color w:val="2D2D2D"/>
          <w:sz w:val="22"/>
          <w:szCs w:val="22"/>
        </w:rPr>
        <w:t xml:space="preserve"/>
      </w:r>
      <w:r>
        <w:rPr>
          <w:rFonts w:ascii="Arial" w:cs="Arial" w:eastAsia="Arial" w:hAnsi="Arial"/>
          <w:b/>
          <w:bCs/>
          <w:color w:val="2D2D2D"/>
          <w:sz w:val="22"/>
          <w:szCs w:val="22"/>
        </w:rPr>
        <w:t xml:space="preserve">Compliance governance notification:</w:t>
      </w:r>
      <w:r>
        <w:rPr>
          <w:rFonts w:ascii="Arial" w:cs="Arial" w:eastAsia="Arial" w:hAnsi="Arial"/>
          <w:color w:val="2D2D2D"/>
          <w:sz w:val="22"/>
          <w:szCs w:val="22"/>
        </w:rPr>
        <w:t xml:space="preserve"> If regulatory flags are raised, the Compliance Governance role is notified with a structured summary and response SLA. No email—structured notification via the workflow system. </w:t>
      </w:r>
      <w:r>
        <w:rPr>
          <w:rFonts w:ascii="Arial" w:cs="Arial" w:eastAsia="Arial" w:hAnsi="Arial"/>
          <w:b/>
          <w:bCs/>
          <w:color w:val="2D2D2D"/>
          <w:sz w:val="22"/>
          <w:szCs w:val="22"/>
        </w:rPr>
        <w:t xml:space="preserve">(A)</w:t>
      </w:r>
      <w:r>
        <w:rPr>
          <w:rFonts w:ascii="Arial" w:cs="Arial" w:eastAsia="Arial" w:hAnsi="Arial"/>
          <w:color w:val="2D2D2D"/>
          <w:sz w:val="22"/>
          <w:szCs w:val="22"/>
        </w:rPr>
        <w:t xml:space="preserve"/>
      </w:r>
    </w:p>
    <w:p>
      <w:pPr>
        <w:pStyle w:val="Heading2"/>
        <w:spacing w:before="300" w:after="120"/>
      </w:pPr>
      <w:r>
        <w:rPr>
          <w:rFonts w:ascii="Arial" w:cs="Arial" w:eastAsia="Arial" w:hAnsi="Arial"/>
          <w:b/>
          <w:bCs/>
          <w:color w:val="2C5F8A"/>
          <w:sz w:val="28"/>
          <w:szCs w:val="28"/>
        </w:rPr>
        <w:t xml:space="preserve">7.6 PRD Auto-Generation Pipeline</w:t>
      </w:r>
    </w:p>
    <w:p>
      <w:pPr>
        <w:spacing w:after="120"/>
      </w:pPr>
      <w:r>
        <w:rPr>
          <w:rFonts w:ascii="Arial" w:cs="Arial" w:eastAsia="Arial" w:hAnsi="Arial"/>
          <w:color w:val="2D2D2D"/>
          <w:sz w:val="22"/>
          <w:szCs w:val="22"/>
        </w:rPr>
        <w:t xml:space="preserve">Upon completion of intake, reuse gate, and risk classification, the system automatically generates a structured Product Requirements Document (PRD). Task type: </w:t>
      </w:r>
      <w:r>
        <w:rPr>
          <w:rFonts w:ascii="Arial" w:cs="Arial" w:eastAsia="Arial" w:hAnsi="Arial"/>
          <w:b/>
          <w:bCs/>
          <w:color w:val="2D2D2D"/>
          <w:sz w:val="22"/>
          <w:szCs w:val="22"/>
        </w:rPr>
        <w:t xml:space="preserve">Automated (A)</w:t>
      </w:r>
      <w:r>
        <w:rPr>
          <w:rFonts w:ascii="Arial" w:cs="Arial" w:eastAsia="Arial" w:hAnsi="Arial"/>
          <w:color w:val="2D2D2D"/>
          <w:sz w:val="22"/>
          <w:szCs w:val="22"/>
        </w:rPr>
        <w:t xml:space="preserve"> with </w:t>
      </w:r>
      <w:r>
        <w:rPr>
          <w:rFonts w:ascii="Arial" w:cs="Arial" w:eastAsia="Arial" w:hAnsi="Arial"/>
          <w:b/>
          <w:bCs/>
          <w:color w:val="2D2D2D"/>
          <w:sz w:val="22"/>
          <w:szCs w:val="22"/>
        </w:rPr>
        <w:t xml:space="preserve">Deterministic Agent-Enabled (DA)</w:t>
      </w:r>
      <w:r>
        <w:rPr>
          <w:rFonts w:ascii="Arial" w:cs="Arial" w:eastAsia="Arial" w:hAnsi="Arial"/>
          <w:color w:val="2D2D2D"/>
          <w:sz w:val="22"/>
          <w:szCs w:val="22"/>
        </w:rPr>
        <w:t xml:space="preserve"> enrichment from knowledge bases.</w:t>
      </w:r>
    </w:p>
    <w:p>
      <w:pPr>
        <w:pStyle w:val="ListParagraph"/>
        <w:numPr>
          <w:ilvl w:val="0"/>
          <w:numId w:val="2"/>
        </w:numPr>
        <w:spacing w:after="60"/>
      </w:pPr>
      <w:r>
        <w:rPr>
          <w:rFonts w:ascii="Arial" w:cs="Arial" w:eastAsia="Arial" w:hAnsi="Arial"/>
          <w:color w:val="2D2D2D"/>
          <w:sz w:val="22"/>
          <w:szCs w:val="22"/>
        </w:rPr>
        <w:t xml:space="preserve">Cover: request ID; date; requestor business unit; pathway assignment; preliminary risk scores; Product Owner assigned.</w:t>
      </w:r>
    </w:p>
    <w:p>
      <w:pPr>
        <w:pStyle w:val="ListParagraph"/>
        <w:numPr>
          <w:ilvl w:val="0"/>
          <w:numId w:val="2"/>
        </w:numPr>
        <w:spacing w:after="60"/>
      </w:pPr>
      <w:r>
        <w:rPr>
          <w:rFonts w:ascii="Arial" w:cs="Arial" w:eastAsia="Arial" w:hAnsi="Arial"/>
          <w:color w:val="2D2D2D"/>
          <w:sz w:val="22"/>
          <w:szCs w:val="22"/>
        </w:rPr>
        <w:t xml:space="preserve">Problem Statement and Opportunity Definition.</w:t>
      </w:r>
    </w:p>
    <w:p>
      <w:pPr>
        <w:pStyle w:val="ListParagraph"/>
        <w:numPr>
          <w:ilvl w:val="0"/>
          <w:numId w:val="2"/>
        </w:numPr>
        <w:spacing w:after="60"/>
      </w:pPr>
      <w:r>
        <w:rPr>
          <w:rFonts w:ascii="Arial" w:cs="Arial" w:eastAsia="Arial" w:hAnsi="Arial"/>
          <w:color w:val="2D2D2D"/>
          <w:sz w:val="22"/>
          <w:szCs w:val="22"/>
        </w:rPr>
        <w:t xml:space="preserve">Functional Requirements (from capability definition and integration fields).</w:t>
      </w:r>
    </w:p>
    <w:p>
      <w:pPr>
        <w:pStyle w:val="ListParagraph"/>
        <w:numPr>
          <w:ilvl w:val="0"/>
          <w:numId w:val="2"/>
        </w:numPr>
        <w:spacing w:after="60"/>
      </w:pPr>
      <w:r>
        <w:rPr>
          <w:rFonts w:ascii="Arial" w:cs="Arial" w:eastAsia="Arial" w:hAnsi="Arial"/>
          <w:color w:val="2D2D2D"/>
          <w:sz w:val="22"/>
          <w:szCs w:val="22"/>
        </w:rPr>
        <w:t xml:space="preserve">Non-Functional Requirements (performance SLAs, availability, security classification, data residency, DR objectives).</w:t>
      </w:r>
    </w:p>
    <w:p>
      <w:pPr>
        <w:pStyle w:val="ListParagraph"/>
        <w:numPr>
          <w:ilvl w:val="0"/>
          <w:numId w:val="2"/>
        </w:numPr>
        <w:spacing w:after="60"/>
      </w:pPr>
      <w:r>
        <w:rPr>
          <w:rFonts w:ascii="Arial" w:cs="Arial" w:eastAsia="Arial" w:hAnsi="Arial"/>
          <w:color w:val="2D2D2D"/>
          <w:sz w:val="22"/>
          <w:szCs w:val="22"/>
        </w:rPr>
        <w:t xml:space="preserve">Regulatory Requirements (auto-populated from regulatory classification output with specific regulation and clause citations).</w:t>
      </w:r>
    </w:p>
    <w:p>
      <w:pPr>
        <w:pStyle w:val="ListParagraph"/>
        <w:numPr>
          <w:ilvl w:val="0"/>
          <w:numId w:val="2"/>
        </w:numPr>
        <w:spacing w:after="60"/>
      </w:pPr>
      <w:r>
        <w:rPr>
          <w:rFonts w:ascii="Arial" w:cs="Arial" w:eastAsia="Arial" w:hAnsi="Arial"/>
          <w:color w:val="2D2D2D"/>
          <w:sz w:val="22"/>
          <w:szCs w:val="22"/>
        </w:rPr>
        <w:t xml:space="preserve">AI Governance Requirements (if AI-enabled: model card template pre-populated; observability requirements; drift monitoring cadence; human-in-the-loop specification).</w:t>
      </w:r>
    </w:p>
    <w:p>
      <w:pPr>
        <w:pStyle w:val="ListParagraph"/>
        <w:numPr>
          <w:ilvl w:val="0"/>
          <w:numId w:val="2"/>
        </w:numPr>
        <w:spacing w:after="60"/>
      </w:pPr>
      <w:r>
        <w:rPr>
          <w:rFonts w:ascii="Arial" w:cs="Arial" w:eastAsia="Arial" w:hAnsi="Arial"/>
          <w:color w:val="2D2D2D"/>
          <w:sz w:val="22"/>
          <w:szCs w:val="22"/>
        </w:rPr>
        <w:t xml:space="preserve">Capability Reuse Assessment Summary (DMN-15 output with decision rationale).</w:t>
      </w:r>
    </w:p>
    <w:p>
      <w:pPr>
        <w:pStyle w:val="ListParagraph"/>
        <w:numPr>
          <w:ilvl w:val="0"/>
          <w:numId w:val="2"/>
        </w:numPr>
        <w:spacing w:after="60"/>
      </w:pPr>
      <w:r>
        <w:rPr>
          <w:rFonts w:ascii="Arial" w:cs="Arial" w:eastAsia="Arial" w:hAnsi="Arial"/>
          <w:color w:val="2D2D2D"/>
          <w:sz w:val="22"/>
          <w:szCs w:val="22"/>
        </w:rPr>
        <w:t xml:space="preserve">Preliminary Acceptance Criteria (AI-generated, reviewed and approved by Product Owner).</w:t>
      </w:r>
    </w:p>
    <w:p>
      <w:pPr>
        <w:pStyle w:val="Heading2"/>
        <w:spacing w:before="300" w:after="120"/>
      </w:pPr>
      <w:r>
        <w:rPr>
          <w:rFonts w:ascii="Arial" w:cs="Arial" w:eastAsia="Arial" w:hAnsi="Arial"/>
          <w:b/>
          <w:bCs/>
          <w:color w:val="2C5F8A"/>
          <w:sz w:val="28"/>
          <w:szCs w:val="28"/>
        </w:rPr>
        <w:t xml:space="preserve">7.7 Backlog Automation: Jira / Azure DevOps and Git Integration</w:t>
      </w:r>
    </w:p>
    <w:p>
      <w:pPr>
        <w:spacing w:after="120"/>
      </w:pPr>
      <w:r>
        <w:rPr>
          <w:rFonts w:ascii="Arial" w:cs="Arial" w:eastAsia="Arial" w:hAnsi="Arial"/>
          <w:color w:val="2D2D2D"/>
          <w:sz w:val="22"/>
          <w:szCs w:val="22"/>
        </w:rPr>
        <w:t xml:space="preserve">Upon Product Owner approval of the PRD, the system automatically pushes artifacts to the designated development project management tool. Task type: </w:t>
      </w:r>
      <w:r>
        <w:rPr>
          <w:rFonts w:ascii="Arial" w:cs="Arial" w:eastAsia="Arial" w:hAnsi="Arial"/>
          <w:b/>
          <w:bCs/>
          <w:color w:val="2D2D2D"/>
          <w:sz w:val="22"/>
          <w:szCs w:val="22"/>
        </w:rPr>
        <w:t xml:space="preserve">Automated (A)</w:t>
      </w:r>
      <w:r>
        <w:rPr>
          <w:rFonts w:ascii="Arial" w:cs="Arial" w:eastAsia="Arial" w:hAnsi="Arial"/>
          <w:color w:val="2D2D2D"/>
          <w:sz w:val="22"/>
          <w:szCs w:val="22"/>
        </w:rPr>
        <w:t xml:space="preserve">.</w:t>
      </w:r>
    </w:p>
    <w:p>
      <w:pPr>
        <w:pStyle w:val="ListParagraph"/>
        <w:numPr>
          <w:ilvl w:val="0"/>
          <w:numId w:val="2"/>
        </w:numPr>
        <w:spacing w:after="60"/>
      </w:pPr>
      <w:r>
        <w:rPr>
          <w:rFonts w:ascii="Arial" w:cs="Arial" w:eastAsia="Arial" w:hAnsi="Arial"/>
          <w:color w:val="2D2D2D"/>
          <w:sz w:val="22"/>
          <w:szCs w:val="22"/>
        </w:rPr>
        <w:t xml:space="preserve">Parent Epic: maps to the full PRD with bi-directional document link; tagged with risk tier, regulatory flags, and TPRM status.</w:t>
      </w:r>
    </w:p>
    <w:p>
      <w:pPr>
        <w:pStyle w:val="ListParagraph"/>
        <w:numPr>
          <w:ilvl w:val="0"/>
          <w:numId w:val="2"/>
        </w:numPr>
        <w:spacing w:after="60"/>
      </w:pPr>
      <w:r>
        <w:rPr>
          <w:rFonts w:ascii="Arial" w:cs="Arial" w:eastAsia="Arial" w:hAnsi="Arial"/>
          <w:color w:val="2D2D2D"/>
          <w:sz w:val="22"/>
          <w:szCs w:val="22"/>
        </w:rPr>
        <w:t xml:space="preserve">Feature Stories: one per functional requirement; formatted as user stories with acceptance criteria in Gherkin format.</w:t>
      </w:r>
    </w:p>
    <w:p>
      <w:pPr>
        <w:pStyle w:val="ListParagraph"/>
        <w:numPr>
          <w:ilvl w:val="0"/>
          <w:numId w:val="2"/>
        </w:numPr>
        <w:spacing w:after="60"/>
      </w:pPr>
      <w:r>
        <w:rPr>
          <w:rFonts w:ascii="Arial" w:cs="Arial" w:eastAsia="Arial" w:hAnsi="Arial"/>
          <w:color w:val="2D2D2D"/>
          <w:sz w:val="22"/>
          <w:szCs w:val="22"/>
        </w:rPr>
        <w:t xml:space="preserve">Technical Notes and Dependency Flags: pre-populated from architecture and integration fields.</w:t>
      </w:r>
    </w:p>
    <w:p>
      <w:pPr>
        <w:pStyle w:val="ListParagraph"/>
        <w:numPr>
          <w:ilvl w:val="0"/>
          <w:numId w:val="2"/>
        </w:numPr>
        <w:spacing w:after="60"/>
      </w:pPr>
      <w:r>
        <w:rPr>
          <w:rFonts w:ascii="Arial" w:cs="Arial" w:eastAsia="Arial" w:hAnsi="Arial"/>
          <w:color w:val="2D2D2D"/>
          <w:sz w:val="22"/>
          <w:szCs w:val="22"/>
        </w:rPr>
        <w:t xml:space="preserve">Story Point Estimates: AI-generated rough sizing (S/M/L/XL) based on historical comparables—subject to Engineering refinement.</w:t>
      </w:r>
    </w:p>
    <w:p>
      <w:pPr>
        <w:pStyle w:val="ListParagraph"/>
        <w:numPr>
          <w:ilvl w:val="0"/>
          <w:numId w:val="2"/>
        </w:numPr>
        <w:spacing w:after="60"/>
      </w:pPr>
      <w:r>
        <w:rPr>
          <w:rFonts w:ascii="Arial" w:cs="Arial" w:eastAsia="Arial" w:hAnsi="Arial"/>
          <w:color w:val="2D2D2D"/>
          <w:sz w:val="22"/>
          <w:szCs w:val="22"/>
        </w:rPr>
        <w:t xml:space="preserve">Git Repository Linkage: feature branch naming convention applied; initial branch created; branch protection rules applied.</w:t>
      </w:r>
    </w:p>
    <w:p>
      <w:r>
        <w:br w:type="page"/>
      </w:r>
    </w:p>
    <w:p>
      <w:pPr>
        <w:pStyle w:val="Heading1"/>
      </w:pPr>
      <w:r>
        <w:rPr>
          <w:rFonts w:ascii="Arial" w:cs="Arial" w:eastAsia="Arial" w:hAnsi="Arial"/>
          <w:b/>
          <w:bCs/>
          <w:color w:val="1B3A5C"/>
          <w:sz w:val="36"/>
          <w:szCs w:val="36"/>
        </w:rPr>
        <w:t xml:space="preserve">8. Phase 2: AI Routing Engine and Composite Scoring</w:t>
      </w:r>
    </w:p>
    <w:p>
      <w:pPr>
        <w:pBdr>
          <w:bottom w:val="single" w:color="1B3A5C" w:sz="6"/>
        </w:pBdr>
        <w:spacing w:before="300"/>
      </w:pPr>
    </w:p>
    <w:p>
      <w:pPr>
        <w:shd w:fill="1B3A5C" w:val="clear"/>
        <w:spacing w:before="120" w:after="60"/>
        <w:ind w:left="120" w:right="120"/>
      </w:pPr>
      <w:r>
        <w:rPr>
          <w:rFonts w:ascii="Arial" w:cs="Arial" w:eastAsia="Arial" w:hAnsi="Arial"/>
          <w:b/>
          <w:bCs/>
          <w:color w:val="FFFFFF"/>
          <w:sz w:val="24"/>
          <w:szCs w:val="24"/>
        </w:rPr>
        <w:t xml:space="preserve">P2  </w:t>
      </w:r>
      <w:r>
        <w:rPr>
          <w:rFonts w:ascii="Arial" w:cs="Arial" w:eastAsia="Arial" w:hAnsi="Arial"/>
          <w:b/>
          <w:bCs/>
          <w:color w:val="FFFFFF"/>
          <w:sz w:val="24"/>
          <w:szCs w:val="24"/>
        </w:rPr>
        <w:t xml:space="preserve">AI Routing Engine and Composite Scoring</w:t>
      </w:r>
    </w:p>
    <w:p>
      <w:pPr>
        <w:shd w:fill="E8F4FD" w:val="clear"/>
        <w:spacing w:after="200"/>
        <w:ind w:left="120" w:right="120"/>
      </w:pPr>
      <w:r>
        <w:rPr>
          <w:rFonts w:ascii="Arial" w:cs="Arial" w:eastAsia="Arial" w:hAnsi="Arial"/>
          <w:i/>
          <w:iCs/>
          <w:color w:val="2D2D2D"/>
          <w:sz w:val="20"/>
          <w:szCs w:val="20"/>
        </w:rPr>
        <w:t xml:space="preserve">Deterministic DMN-01 fires on structured data. Pathway assigned. SLA clock starts. Task type: Automated (A).</w:t>
      </w:r>
    </w:p>
    <w:p>
      <w:pPr>
        <w:pStyle w:val="Heading2"/>
        <w:spacing w:before="300" w:after="120"/>
      </w:pPr>
      <w:r>
        <w:rPr>
          <w:rFonts w:ascii="Arial" w:cs="Arial" w:eastAsia="Arial" w:hAnsi="Arial"/>
          <w:b/>
          <w:bCs/>
          <w:color w:val="2C5F8A"/>
          <w:sz w:val="28"/>
          <w:szCs w:val="28"/>
        </w:rPr>
        <w:t xml:space="preserve">8.1 Composite Scoring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4000"/>
        <w:gridCol w:w="2560"/>
      </w:tblGrid>
      <w:tr>
        <w:tc>
          <w:tcPr>
            <w:tcW w:type="dxa" w:w="180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100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Weight</w:t>
            </w:r>
          </w:p>
        </w:tc>
        <w:tc>
          <w:tcPr>
            <w:tcW w:type="dxa" w:w="400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Inputs</w:t>
            </w:r>
          </w:p>
        </w:tc>
        <w:tc>
          <w:tcPr>
            <w:tcW w:type="dxa" w:w="256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Score Range</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Strategic Value</w:t>
            </w:r>
            <w:r>
              <w:rPr>
                <w:rFonts w:ascii="Arial" w:cs="Arial" w:eastAsia="Arial" w:hAnsi="Arial"/>
                <w:color w:val="2D2D2D"/>
                <w:sz w:val="20"/>
                <w:szCs w:val="20"/>
              </w:rPr>
              <w:t xml:space="preserve"/>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25%</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Business value quantification; strategic alignment; user population; SLA criticality</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0–25</w:t>
            </w:r>
          </w:p>
        </w:tc>
      </w:tr>
      <w:tr>
        <w:tc>
          <w:tcPr>
            <w:tcW w:type="dxa" w:w="18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Risk Score</w:t>
            </w:r>
            <w:r>
              <w:rPr>
                <w:rFonts w:ascii="Arial" w:cs="Arial" w:eastAsia="Arial" w:hAnsi="Arial"/>
                <w:color w:val="2D2D2D"/>
                <w:sz w:val="20"/>
                <w:szCs w:val="20"/>
              </w:rPr>
              <w:t xml:space="preserve"/>
            </w:r>
          </w:p>
        </w:tc>
        <w:tc>
          <w:tcPr>
            <w:tcW w:type="dxa" w:w="10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30%</w:t>
            </w:r>
          </w:p>
        </w:tc>
        <w:tc>
          <w:tcPr>
            <w:tcW w:type="dxa" w:w="40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AI risk tier; data classification; cybersecurity score; regulatory flags; concentration risk</w:t>
            </w:r>
          </w:p>
        </w:tc>
        <w:tc>
          <w:tcPr>
            <w:tcW w:type="dxa" w:w="256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0–30</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Complexity Score</w:t>
            </w:r>
            <w:r>
              <w:rPr>
                <w:rFonts w:ascii="Arial" w:cs="Arial" w:eastAsia="Arial" w:hAnsi="Arial"/>
                <w:color w:val="2D2D2D"/>
                <w:sz w:val="20"/>
                <w:szCs w:val="20"/>
              </w:rPr>
              <w:t xml:space="preserve"/>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20%</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Integration count; data domain breadth; build vs. buy complexity estimate</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0–20</w:t>
            </w:r>
          </w:p>
        </w:tc>
      </w:tr>
      <w:tr>
        <w:tc>
          <w:tcPr>
            <w:tcW w:type="dxa" w:w="18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Portfolio Fit</w:t>
            </w:r>
            <w:r>
              <w:rPr>
                <w:rFonts w:ascii="Arial" w:cs="Arial" w:eastAsia="Arial" w:hAnsi="Arial"/>
                <w:color w:val="2D2D2D"/>
                <w:sz w:val="20"/>
                <w:szCs w:val="20"/>
              </w:rPr>
              <w:t xml:space="preserve"/>
            </w:r>
          </w:p>
        </w:tc>
        <w:tc>
          <w:tcPr>
            <w:tcW w:type="dxa" w:w="10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15%</w:t>
            </w:r>
          </w:p>
        </w:tc>
        <w:tc>
          <w:tcPr>
            <w:tcW w:type="dxa" w:w="40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Current backlog capacity; resource availability; strategic theme alignment; duplicate probability</w:t>
            </w:r>
          </w:p>
        </w:tc>
        <w:tc>
          <w:tcPr>
            <w:tcW w:type="dxa" w:w="256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0–15</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Urgency</w:t>
            </w:r>
            <w:r>
              <w:rPr>
                <w:rFonts w:ascii="Arial" w:cs="Arial" w:eastAsia="Arial" w:hAnsi="Arial"/>
                <w:color w:val="2D2D2D"/>
                <w:sz w:val="20"/>
                <w:szCs w:val="20"/>
              </w:rPr>
              <w:t xml:space="preserve"/>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10%</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Go-live date delta; regulatory or contractual deadline; business event driver</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0–10</w:t>
            </w:r>
          </w:p>
        </w:tc>
      </w:tr>
    </w:tbl>
    <w:p>
      <w:pPr>
        <w:pStyle w:val="Heading2"/>
        <w:spacing w:before="300" w:after="120"/>
      </w:pPr>
      <w:r>
        <w:rPr>
          <w:rFonts w:ascii="Arial" w:cs="Arial" w:eastAsia="Arial" w:hAnsi="Arial"/>
          <w:b/>
          <w:bCs/>
          <w:color w:val="2C5F8A"/>
          <w:sz w:val="28"/>
          <w:szCs w:val="28"/>
        </w:rPr>
        <w:t xml:space="preserve">8.2 Three-Tier Routing Architecture</w:t>
      </w:r>
    </w:p>
    <w:p>
      <w:pPr>
        <w:spacing w:after="120"/>
      </w:pPr>
      <w:r>
        <w:rPr>
          <w:rFonts w:ascii="Arial" w:cs="Arial" w:eastAsia="Arial" w:hAnsi="Arial"/>
          <w:color w:val="2D2D2D"/>
          <w:sz w:val="22"/>
          <w:szCs w:val="22"/>
        </w:rPr>
        <w:t xml:space="preserve">The Routing Engine applies three tiers in sequence, stopping at the first tier that produces a high-confidence result:</w:t>
      </w:r>
    </w:p>
    <w:p>
      <w:pPr>
        <w:pStyle w:val="ListParagraph"/>
        <w:numPr>
          <w:ilvl w:val="0"/>
          <w:numId w:val="2"/>
        </w:numPr>
        <w:spacing w:after="60"/>
      </w:pPr>
      <w:r>
        <w:rPr>
          <w:rFonts w:ascii="Arial" w:cs="Arial" w:eastAsia="Arial" w:hAnsi="Arial"/>
          <w:color w:val="2D2D2D"/>
          <w:sz w:val="22"/>
          <w:szCs w:val="22"/>
        </w:rPr>
        <w:t xml:space="preserve"/>
      </w:r>
      <w:r>
        <w:rPr>
          <w:rFonts w:ascii="Arial" w:cs="Arial" w:eastAsia="Arial" w:hAnsi="Arial"/>
          <w:b/>
          <w:bCs/>
          <w:color w:val="2D2D2D"/>
          <w:sz w:val="22"/>
          <w:szCs w:val="22"/>
        </w:rPr>
        <w:t xml:space="preserve">Tier 1—Deterministic DMN Rules (A):</w:t>
      </w:r>
      <w:r>
        <w:rPr>
          <w:rFonts w:ascii="Arial" w:cs="Arial" w:eastAsia="Arial" w:hAnsi="Arial"/>
          <w:color w:val="2D2D2D"/>
          <w:sz w:val="22"/>
          <w:szCs w:val="22"/>
        </w:rPr>
        <w:t xml:space="preserve"> DMN-01 fires against structured fields. If a rule matches with unambiguous inputs, the result is applied immediately and logged with the rule ID.</w:t>
      </w:r>
    </w:p>
    <w:p>
      <w:pPr>
        <w:pStyle w:val="ListParagraph"/>
        <w:numPr>
          <w:ilvl w:val="0"/>
          <w:numId w:val="2"/>
        </w:numPr>
        <w:spacing w:after="60"/>
      </w:pPr>
      <w:r>
        <w:rPr>
          <w:rFonts w:ascii="Arial" w:cs="Arial" w:eastAsia="Arial" w:hAnsi="Arial"/>
          <w:color w:val="2D2D2D"/>
          <w:sz w:val="22"/>
          <w:szCs w:val="22"/>
        </w:rPr>
        <w:t xml:space="preserve"/>
      </w:r>
      <w:r>
        <w:rPr>
          <w:rFonts w:ascii="Arial" w:cs="Arial" w:eastAsia="Arial" w:hAnsi="Arial"/>
          <w:b/>
          <w:bCs/>
          <w:color w:val="2D2D2D"/>
          <w:sz w:val="22"/>
          <w:szCs w:val="22"/>
        </w:rPr>
        <w:t xml:space="preserve">Tier 2—Deterministic Agent-Enabled Semantic Classification (DA):</w:t>
      </w:r>
      <w:r>
        <w:rPr>
          <w:rFonts w:ascii="Arial" w:cs="Arial" w:eastAsia="Arial" w:hAnsi="Arial"/>
          <w:color w:val="2D2D2D"/>
          <w:sz w:val="22"/>
          <w:szCs w:val="22"/>
        </w:rPr>
        <w:t xml:space="preserve"> Applied for requests where structured fields alone are insufficient (novel capability descriptions, ambiguous regulatory flags). The agent reasoning trace is captured and stored. Agent uses deterministic knowledge bases only.</w:t>
      </w:r>
    </w:p>
    <w:p>
      <w:pPr>
        <w:pStyle w:val="ListParagraph"/>
        <w:numPr>
          <w:ilvl w:val="0"/>
          <w:numId w:val="2"/>
        </w:numPr>
        <w:spacing w:after="60"/>
      </w:pPr>
      <w:r>
        <w:rPr>
          <w:rFonts w:ascii="Arial" w:cs="Arial" w:eastAsia="Arial" w:hAnsi="Arial"/>
          <w:color w:val="2D2D2D"/>
          <w:sz w:val="22"/>
          <w:szCs w:val="22"/>
        </w:rPr>
        <w:t xml:space="preserve"/>
      </w:r>
      <w:r>
        <w:rPr>
          <w:rFonts w:ascii="Arial" w:cs="Arial" w:eastAsia="Arial" w:hAnsi="Arial"/>
          <w:b/>
          <w:bCs/>
          <w:color w:val="2D2D2D"/>
          <w:sz w:val="22"/>
          <w:szCs w:val="22"/>
        </w:rPr>
        <w:t xml:space="preserve">Tier 3—Human Review Escalation (H):</w:t>
      </w:r>
      <w:r>
        <w:rPr>
          <w:rFonts w:ascii="Arial" w:cs="Arial" w:eastAsia="Arial" w:hAnsi="Arial"/>
          <w:color w:val="2D2D2D"/>
          <w:sz w:val="22"/>
          <w:szCs w:val="22"/>
        </w:rPr>
        <w:t xml:space="preserve"> Any case where neither Tier 1 nor Tier 2 produces confidence ≥85% is escalated to the Product Owner with candidate routes and confidence scores presented for human determination.</w:t>
      </w:r>
    </w:p>
    <w:p>
      <w:pPr>
        <w:pStyle w:val="Heading2"/>
        <w:spacing w:before="300" w:after="120"/>
      </w:pPr>
      <w:r>
        <w:rPr>
          <w:rFonts w:ascii="Arial" w:cs="Arial" w:eastAsia="Arial" w:hAnsi="Arial"/>
          <w:b/>
          <w:bCs/>
          <w:color w:val="2C5F8A"/>
          <w:sz w:val="28"/>
          <w:szCs w:val="28"/>
        </w:rPr>
        <w:t xml:space="preserve">8.3 DMN-01: AI Routing and Pathway Assignment</w:t>
      </w:r>
    </w:p>
    <w:p>
      <w:pPr>
        <w:spacing w:after="120"/>
      </w:pPr>
      <w:r>
        <w:rPr>
          <w:rFonts w:ascii="Arial" w:cs="Arial" w:eastAsia="Arial" w:hAnsi="Arial"/>
          <w:color w:val="2D2D2D"/>
          <w:sz w:val="22"/>
          <w:szCs w:val="22"/>
        </w:rPr>
        <w:t xml:space="preserve">Hit policy: UNIQUE (U). First matching rule fires.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900"/>
        <w:gridCol w:w="1100"/>
        <w:gridCol w:w="800"/>
        <w:gridCol w:w="1000"/>
        <w:gridCol w:w="1400"/>
        <w:gridCol w:w="1200"/>
        <w:gridCol w:w="1160"/>
        <w:gridCol w:w="1300"/>
      </w:tblGrid>
      <w:tr>
        <w:tc>
          <w:tcPr>
            <w:tcW w:type="dxa" w:w="50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90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Channel</w:t>
            </w:r>
          </w:p>
        </w:tc>
        <w:tc>
          <w:tcPr>
            <w:tcW w:type="dxa" w:w="110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Existing Soln?</w:t>
            </w:r>
          </w:p>
        </w:tc>
        <w:tc>
          <w:tcPr>
            <w:tcW w:type="dxa" w:w="80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AI Tier</w:t>
            </w:r>
          </w:p>
        </w:tc>
        <w:tc>
          <w:tcPr>
            <w:tcW w:type="dxa" w:w="100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Score</w:t>
            </w:r>
          </w:p>
        </w:tc>
        <w:tc>
          <w:tcPr>
            <w:tcW w:type="dxa" w:w="140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Vendor Status</w:t>
            </w:r>
          </w:p>
        </w:tc>
        <w:tc>
          <w:tcPr>
            <w:tcW w:type="dxa" w:w="120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Pathway</w:t>
            </w:r>
          </w:p>
        </w:tc>
        <w:tc>
          <w:tcPr>
            <w:tcW w:type="dxa" w:w="116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Fast-Track?</w:t>
            </w:r>
          </w:p>
        </w:tc>
        <w:tc>
          <w:tcPr>
            <w:tcW w:type="dxa" w:w="130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 Reviews</w:t>
            </w:r>
          </w:p>
        </w:tc>
      </w:tr>
      <w:tr>
        <w:tc>
          <w:tcPr>
            <w:tcW w:type="dxa" w:w="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1</w:t>
            </w:r>
          </w:p>
        </w:tc>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Internal</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Exact match</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Any</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Any</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Any</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Fast-track → ITSM</w:t>
            </w:r>
            <w:r>
              <w:rPr>
                <w:rFonts w:ascii="Arial" w:cs="Arial" w:eastAsia="Arial" w:hAnsi="Arial"/>
                <w:color w:val="2D2D2D"/>
                <w:sz w:val="20"/>
                <w:szCs w:val="20"/>
              </w:rPr>
              <w:t xml:space="preserve"/>
            </w:r>
          </w:p>
        </w:tc>
        <w:tc>
          <w:tcPr>
            <w:tcW w:type="dxa" w:w="1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YES</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None</w:t>
            </w:r>
          </w:p>
        </w:tc>
      </w:tr>
      <w:tr>
        <w:tc>
          <w:tcPr>
            <w:tcW w:type="dxa" w:w="5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2</w:t>
            </w:r>
          </w:p>
        </w:tc>
        <w:tc>
          <w:tcPr>
            <w:tcW w:type="dxa" w:w="9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Internal</w:t>
            </w:r>
          </w:p>
        </w:tc>
        <w:tc>
          <w:tcPr>
            <w:tcW w:type="dxa" w:w="11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No match</w:t>
            </w:r>
          </w:p>
        </w:tc>
        <w:tc>
          <w:tcPr>
            <w:tcW w:type="dxa" w:w="8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Tier 3</w:t>
            </w:r>
          </w:p>
        </w:tc>
        <w:tc>
          <w:tcPr>
            <w:tcW w:type="dxa" w:w="10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0–45</w:t>
            </w:r>
          </w:p>
        </w:tc>
        <w:tc>
          <w:tcPr>
            <w:tcW w:type="dxa" w:w="14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N/A</w:t>
            </w:r>
          </w:p>
        </w:tc>
        <w:tc>
          <w:tcPr>
            <w:tcW w:type="dxa" w:w="12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Fast-track → Build (lite)</w:t>
            </w:r>
            <w:r>
              <w:rPr>
                <w:rFonts w:ascii="Arial" w:cs="Arial" w:eastAsia="Arial" w:hAnsi="Arial"/>
                <w:color w:val="2D2D2D"/>
                <w:sz w:val="20"/>
                <w:szCs w:val="20"/>
              </w:rPr>
              <w:t xml:space="preserve"/>
            </w:r>
          </w:p>
        </w:tc>
        <w:tc>
          <w:tcPr>
            <w:tcW w:type="dxa" w:w="116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YES</w:t>
            </w:r>
          </w:p>
        </w:tc>
        <w:tc>
          <w:tcPr>
            <w:tcW w:type="dxa" w:w="13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Architecture (abbrev), Security (abbrev)</w:t>
            </w:r>
          </w:p>
        </w:tc>
      </w:tr>
      <w:tr>
        <w:tc>
          <w:tcPr>
            <w:tcW w:type="dxa" w:w="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3</w:t>
            </w:r>
          </w:p>
        </w:tc>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Internal</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No match</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Tier 3</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0–45</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Pre-approved</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Fast-track → Buy (lite)</w:t>
            </w:r>
            <w:r>
              <w:rPr>
                <w:rFonts w:ascii="Arial" w:cs="Arial" w:eastAsia="Arial" w:hAnsi="Arial"/>
                <w:color w:val="2D2D2D"/>
                <w:sz w:val="20"/>
                <w:szCs w:val="20"/>
              </w:rPr>
              <w:t xml:space="preserve"/>
            </w:r>
          </w:p>
        </w:tc>
        <w:tc>
          <w:tcPr>
            <w:tcW w:type="dxa" w:w="1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YES</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Procurement (abbrev)</w:t>
            </w:r>
          </w:p>
        </w:tc>
      </w:tr>
      <w:tr>
        <w:tc>
          <w:tcPr>
            <w:tcW w:type="dxa" w:w="5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4</w:t>
            </w:r>
          </w:p>
        </w:tc>
        <w:tc>
          <w:tcPr>
            <w:tcW w:type="dxa" w:w="9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Internal</w:t>
            </w:r>
          </w:p>
        </w:tc>
        <w:tc>
          <w:tcPr>
            <w:tcW w:type="dxa" w:w="11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No match</w:t>
            </w:r>
          </w:p>
        </w:tc>
        <w:tc>
          <w:tcPr>
            <w:tcW w:type="dxa" w:w="8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Tier 3</w:t>
            </w:r>
          </w:p>
        </w:tc>
        <w:tc>
          <w:tcPr>
            <w:tcW w:type="dxa" w:w="10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46–65</w:t>
            </w:r>
          </w:p>
        </w:tc>
        <w:tc>
          <w:tcPr>
            <w:tcW w:type="dxa" w:w="14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Not approved</w:t>
            </w:r>
          </w:p>
        </w:tc>
        <w:tc>
          <w:tcPr>
            <w:tcW w:type="dxa" w:w="12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Standard → Buy + RAE</w:t>
            </w:r>
            <w:r>
              <w:rPr>
                <w:rFonts w:ascii="Arial" w:cs="Arial" w:eastAsia="Arial" w:hAnsi="Arial"/>
                <w:color w:val="2D2D2D"/>
                <w:sz w:val="20"/>
                <w:szCs w:val="20"/>
              </w:rPr>
              <w:t xml:space="preserve"/>
            </w:r>
          </w:p>
        </w:tc>
        <w:tc>
          <w:tcPr>
            <w:tcW w:type="dxa" w:w="116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NO</w:t>
            </w:r>
          </w:p>
        </w:tc>
        <w:tc>
          <w:tcPr>
            <w:tcW w:type="dxa" w:w="13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Procurement, Risk, Legal, CyberSec</w:t>
            </w:r>
          </w:p>
        </w:tc>
      </w:tr>
      <w:tr>
        <w:tc>
          <w:tcPr>
            <w:tcW w:type="dxa" w:w="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5</w:t>
            </w:r>
          </w:p>
        </w:tc>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Internal</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No match</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Tier 2</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46–75</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Any</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Standard → Build + AI Gov</w:t>
            </w:r>
            <w:r>
              <w:rPr>
                <w:rFonts w:ascii="Arial" w:cs="Arial" w:eastAsia="Arial" w:hAnsi="Arial"/>
                <w:color w:val="2D2D2D"/>
                <w:sz w:val="20"/>
                <w:szCs w:val="20"/>
              </w:rPr>
              <w:t xml:space="preserve"/>
            </w:r>
          </w:p>
        </w:tc>
        <w:tc>
          <w:tcPr>
            <w:tcW w:type="dxa" w:w="1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NO</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Architecture, PMO, AI Gov, Risk, Compliance</w:t>
            </w:r>
          </w:p>
        </w:tc>
      </w:tr>
      <w:tr>
        <w:tc>
          <w:tcPr>
            <w:tcW w:type="dxa" w:w="5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6</w:t>
            </w:r>
          </w:p>
        </w:tc>
        <w:tc>
          <w:tcPr>
            <w:tcW w:type="dxa" w:w="9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Internal</w:t>
            </w:r>
          </w:p>
        </w:tc>
        <w:tc>
          <w:tcPr>
            <w:tcW w:type="dxa" w:w="11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No match</w:t>
            </w:r>
          </w:p>
        </w:tc>
        <w:tc>
          <w:tcPr>
            <w:tcW w:type="dxa" w:w="8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Tier 1</w:t>
            </w:r>
          </w:p>
        </w:tc>
        <w:tc>
          <w:tcPr>
            <w:tcW w:type="dxa" w:w="10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Any</w:t>
            </w:r>
          </w:p>
        </w:tc>
        <w:tc>
          <w:tcPr>
            <w:tcW w:type="dxa" w:w="14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Any</w:t>
            </w:r>
          </w:p>
        </w:tc>
        <w:tc>
          <w:tcPr>
            <w:tcW w:type="dxa" w:w="12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Full PDLC + AI Gov (Full)</w:t>
            </w:r>
            <w:r>
              <w:rPr>
                <w:rFonts w:ascii="Arial" w:cs="Arial" w:eastAsia="Arial" w:hAnsi="Arial"/>
                <w:color w:val="2D2D2D"/>
                <w:sz w:val="20"/>
                <w:szCs w:val="20"/>
              </w:rPr>
              <w:t xml:space="preserve"/>
            </w:r>
          </w:p>
        </w:tc>
        <w:tc>
          <w:tcPr>
            <w:tcW w:type="dxa" w:w="116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NO</w:t>
            </w:r>
          </w:p>
        </w:tc>
        <w:tc>
          <w:tcPr>
            <w:tcW w:type="dxa" w:w="13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Architecture, AI Gov (exec sponsor), Risk, Legal, CyberSec, Compliance, Audit</w:t>
            </w:r>
          </w:p>
        </w:tc>
      </w:tr>
      <w:tr>
        <w:tc>
          <w:tcPr>
            <w:tcW w:type="dxa" w:w="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7</w:t>
            </w:r>
          </w:p>
        </w:tc>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External</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No match</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Any</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Any</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New vendor</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Full → Buy + TPRM</w:t>
            </w:r>
            <w:r>
              <w:rPr>
                <w:rFonts w:ascii="Arial" w:cs="Arial" w:eastAsia="Arial" w:hAnsi="Arial"/>
                <w:color w:val="2D2D2D"/>
                <w:sz w:val="20"/>
                <w:szCs w:val="20"/>
              </w:rPr>
              <w:t xml:space="preserve"/>
            </w:r>
          </w:p>
        </w:tc>
        <w:tc>
          <w:tcPr>
            <w:tcW w:type="dxa" w:w="1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NO</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TPRM, Procurement, Legal, Finance, AI Gov (if AI)</w:t>
            </w:r>
          </w:p>
        </w:tc>
      </w:tr>
      <w:tr>
        <w:tc>
          <w:tcPr>
            <w:tcW w:type="dxa" w:w="5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8</w:t>
            </w:r>
          </w:p>
        </w:tc>
        <w:tc>
          <w:tcPr>
            <w:tcW w:type="dxa" w:w="9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Any</w:t>
            </w:r>
          </w:p>
        </w:tc>
        <w:tc>
          <w:tcPr>
            <w:tcW w:type="dxa" w:w="11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Partial (70–90%)</w:t>
            </w:r>
          </w:p>
        </w:tc>
        <w:tc>
          <w:tcPr>
            <w:tcW w:type="dxa" w:w="8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Any</w:t>
            </w:r>
          </w:p>
        </w:tc>
        <w:tc>
          <w:tcPr>
            <w:tcW w:type="dxa" w:w="10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Any</w:t>
            </w:r>
          </w:p>
        </w:tc>
        <w:tc>
          <w:tcPr>
            <w:tcW w:type="dxa" w:w="14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Any</w:t>
            </w:r>
          </w:p>
        </w:tc>
        <w:tc>
          <w:tcPr>
            <w:tcW w:type="dxa" w:w="12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Reuse Assessment</w:t>
            </w:r>
            <w:r>
              <w:rPr>
                <w:rFonts w:ascii="Arial" w:cs="Arial" w:eastAsia="Arial" w:hAnsi="Arial"/>
                <w:color w:val="2D2D2D"/>
                <w:sz w:val="20"/>
                <w:szCs w:val="20"/>
              </w:rPr>
              <w:t xml:space="preserve"/>
            </w:r>
          </w:p>
        </w:tc>
        <w:tc>
          <w:tcPr>
            <w:tcW w:type="dxa" w:w="116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Pending</w:t>
            </w:r>
          </w:p>
        </w:tc>
        <w:tc>
          <w:tcPr>
            <w:tcW w:type="dxa" w:w="13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Product Owner + requestor within 5 days</w:t>
            </w:r>
          </w:p>
        </w:tc>
      </w:tr>
      <w:tr>
        <w:tc>
          <w:tcPr>
            <w:tcW w:type="dxa" w:w="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9</w:t>
            </w:r>
          </w:p>
        </w:tc>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Any</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In-flight match</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Any</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Any</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Any</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Merge Offer</w:t>
            </w:r>
            <w:r>
              <w:rPr>
                <w:rFonts w:ascii="Arial" w:cs="Arial" w:eastAsia="Arial" w:hAnsi="Arial"/>
                <w:color w:val="2D2D2D"/>
                <w:sz w:val="20"/>
                <w:szCs w:val="20"/>
              </w:rPr>
              <w:t xml:space="preserve"/>
            </w:r>
          </w:p>
        </w:tc>
        <w:tc>
          <w:tcPr>
            <w:tcW w:type="dxa" w:w="1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Pending</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Portfolio Council at next cycle</w:t>
            </w:r>
          </w:p>
        </w:tc>
      </w:tr>
    </w:tbl>
    <w:p>
      <w:r>
        <w:br w:type="page"/>
      </w:r>
    </w:p>
    <w:p>
      <w:pPr>
        <w:pStyle w:val="Heading1"/>
      </w:pPr>
      <w:r>
        <w:rPr>
          <w:rFonts w:ascii="Arial" w:cs="Arial" w:eastAsia="Arial" w:hAnsi="Arial"/>
          <w:b/>
          <w:bCs/>
          <w:color w:val="1B3A5C"/>
          <w:sz w:val="36"/>
          <w:szCs w:val="36"/>
        </w:rPr>
        <w:t xml:space="preserve">9. Phase 3: Product Management Review, Enrichment, and Portfolio Governance</w:t>
      </w:r>
    </w:p>
    <w:p>
      <w:pPr>
        <w:pBdr>
          <w:bottom w:val="single" w:color="1B3A5C" w:sz="6"/>
        </w:pBdr>
        <w:spacing w:before="300"/>
      </w:pPr>
    </w:p>
    <w:p>
      <w:pPr>
        <w:shd w:fill="1B3A5C" w:val="clear"/>
        <w:spacing w:before="120" w:after="60"/>
        <w:ind w:left="120" w:right="120"/>
      </w:pPr>
      <w:r>
        <w:rPr>
          <w:rFonts w:ascii="Arial" w:cs="Arial" w:eastAsia="Arial" w:hAnsi="Arial"/>
          <w:b/>
          <w:bCs/>
          <w:color w:val="FFFFFF"/>
          <w:sz w:val="24"/>
          <w:szCs w:val="24"/>
        </w:rPr>
        <w:t xml:space="preserve">P3  </w:t>
      </w:r>
      <w:r>
        <w:rPr>
          <w:rFonts w:ascii="Arial" w:cs="Arial" w:eastAsia="Arial" w:hAnsi="Arial"/>
          <w:b/>
          <w:bCs/>
          <w:color w:val="FFFFFF"/>
          <w:sz w:val="24"/>
          <w:szCs w:val="24"/>
        </w:rPr>
        <w:t xml:space="preserve">Product Management Review and Portfolio Governance</w:t>
      </w:r>
    </w:p>
    <w:p>
      <w:pPr>
        <w:shd w:fill="E8F4FD" w:val="clear"/>
        <w:spacing w:after="200"/>
        <w:ind w:left="120" w:right="120"/>
      </w:pPr>
      <w:r>
        <w:rPr>
          <w:rFonts w:ascii="Arial" w:cs="Arial" w:eastAsia="Arial" w:hAnsi="Arial"/>
          <w:i/>
          <w:iCs/>
          <w:color w:val="2D2D2D"/>
          <w:sz w:val="20"/>
          <w:szCs w:val="20"/>
        </w:rPr>
        <w:t xml:space="preserve">Product Owner validates completeness, enriches the request, and executes deduplication logic. Compliance validated via deterministic knowledge bases.</w:t>
      </w:r>
    </w:p>
    <w:p>
      <w:pPr>
        <w:pStyle w:val="Heading2"/>
        <w:spacing w:before="300" w:after="120"/>
      </w:pPr>
      <w:r>
        <w:rPr>
          <w:rFonts w:ascii="Arial" w:cs="Arial" w:eastAsia="Arial" w:hAnsi="Arial"/>
          <w:b/>
          <w:bCs/>
          <w:color w:val="2C5F8A"/>
          <w:sz w:val="28"/>
          <w:szCs w:val="28"/>
        </w:rPr>
        <w:t xml:space="preserve">9.1 Product Owner Activities</w:t>
      </w:r>
    </w:p>
    <w:p>
      <w:pPr>
        <w:spacing w:after="120"/>
      </w:pPr>
      <w:r>
        <w:rPr>
          <w:rFonts w:ascii="Arial" w:cs="Arial" w:eastAsia="Arial" w:hAnsi="Arial"/>
          <w:color w:val="2D2D2D"/>
          <w:sz w:val="22"/>
          <w:szCs w:val="22"/>
        </w:rPr>
        <w:t xml:space="preserve">Task type: </w:t>
      </w:r>
      <w:r>
        <w:rPr>
          <w:rFonts w:ascii="Arial" w:cs="Arial" w:eastAsia="Arial" w:hAnsi="Arial"/>
          <w:b/>
          <w:bCs/>
          <w:color w:val="2D2D2D"/>
          <w:sz w:val="22"/>
          <w:szCs w:val="22"/>
        </w:rPr>
        <w:t xml:space="preserve">Human-in-the-Loop (H)</w:t>
      </w:r>
      <w:r>
        <w:rPr>
          <w:rFonts w:ascii="Arial" w:cs="Arial" w:eastAsia="Arial" w:hAnsi="Arial"/>
          <w:color w:val="2D2D2D"/>
          <w:sz w:val="22"/>
          <w:szCs w:val="22"/>
        </w:rPr>
        <w:t xml:space="preserve"> with </w:t>
      </w:r>
      <w:r>
        <w:rPr>
          <w:rFonts w:ascii="Arial" w:cs="Arial" w:eastAsia="Arial" w:hAnsi="Arial"/>
          <w:b/>
          <w:bCs/>
          <w:color w:val="2D2D2D"/>
          <w:sz w:val="22"/>
          <w:szCs w:val="22"/>
        </w:rPr>
        <w:t xml:space="preserve">Deterministic Agent-Enabled (DA)</w:t>
      </w:r>
      <w:r>
        <w:rPr>
          <w:rFonts w:ascii="Arial" w:cs="Arial" w:eastAsia="Arial" w:hAnsi="Arial"/>
          <w:color w:val="2D2D2D"/>
          <w:sz w:val="22"/>
          <w:szCs w:val="22"/>
        </w:rPr>
        <w:t xml:space="preserve"> support.</w:t>
      </w:r>
    </w:p>
    <w:p>
      <w:pPr>
        <w:pStyle w:val="ListParagraph"/>
        <w:numPr>
          <w:ilvl w:val="0"/>
          <w:numId w:val="2"/>
        </w:numPr>
        <w:spacing w:after="60"/>
      </w:pPr>
      <w:r>
        <w:rPr>
          <w:rFonts w:ascii="Arial" w:cs="Arial" w:eastAsia="Arial" w:hAnsi="Arial"/>
          <w:color w:val="2D2D2D"/>
          <w:sz w:val="22"/>
          <w:szCs w:val="22"/>
        </w:rPr>
        <w:t xml:space="preserve">Review AI-generated PRD for accuracy and completeness; validate business context, functional requirements, and acceptance criteria.</w:t>
      </w:r>
    </w:p>
    <w:p>
      <w:pPr>
        <w:pStyle w:val="ListParagraph"/>
        <w:numPr>
          <w:ilvl w:val="0"/>
          <w:numId w:val="2"/>
        </w:numPr>
        <w:spacing w:after="60"/>
      </w:pPr>
      <w:r>
        <w:rPr>
          <w:rFonts w:ascii="Arial" w:cs="Arial" w:eastAsia="Arial" w:hAnsi="Arial"/>
          <w:color w:val="2D2D2D"/>
          <w:sz w:val="22"/>
          <w:szCs w:val="22"/>
        </w:rPr>
        <w:t xml:space="preserve">Enrich the request with downstream process data: internal business owner confirmation, application tag, integration domain, analytics requirements.</w:t>
      </w:r>
    </w:p>
    <w:p>
      <w:pPr>
        <w:pStyle w:val="ListParagraph"/>
        <w:numPr>
          <w:ilvl w:val="0"/>
          <w:numId w:val="2"/>
        </w:numPr>
        <w:spacing w:after="60"/>
      </w:pPr>
      <w:r>
        <w:rPr>
          <w:rFonts w:ascii="Arial" w:cs="Arial" w:eastAsia="Arial" w:hAnsi="Arial"/>
          <w:color w:val="2D2D2D"/>
          <w:sz w:val="22"/>
          <w:szCs w:val="22"/>
        </w:rPr>
        <w:t xml:space="preserve">Execute registry and backlog deduplication via DMN-03.</w:t>
      </w:r>
    </w:p>
    <w:p>
      <w:pPr>
        <w:pStyle w:val="ListParagraph"/>
        <w:numPr>
          <w:ilvl w:val="0"/>
          <w:numId w:val="2"/>
        </w:numPr>
        <w:spacing w:after="60"/>
      </w:pPr>
      <w:r>
        <w:rPr>
          <w:rFonts w:ascii="Arial" w:cs="Arial" w:eastAsia="Arial" w:hAnsi="Arial"/>
          <w:color w:val="2D2D2D"/>
          <w:sz w:val="22"/>
          <w:szCs w:val="22"/>
        </w:rPr>
        <w:t xml:space="preserve">Loop back to requestor via the conversational bot for any identified gaps (DMN-02 governs this gate). No email—structured retrieval from the workflow system.</w:t>
      </w:r>
    </w:p>
    <w:p>
      <w:pPr>
        <w:pStyle w:val="ListParagraph"/>
        <w:numPr>
          <w:ilvl w:val="0"/>
          <w:numId w:val="2"/>
        </w:numPr>
        <w:spacing w:after="60"/>
      </w:pPr>
      <w:r>
        <w:rPr>
          <w:rFonts w:ascii="Arial" w:cs="Arial" w:eastAsia="Arial" w:hAnsi="Arial"/>
          <w:color w:val="2D2D2D"/>
          <w:sz w:val="22"/>
          <w:szCs w:val="22"/>
        </w:rPr>
        <w:t xml:space="preserve">Confirm the preliminary pathway assignment from Phase 2 or escalate for re-routing with documented rationale.</w:t>
      </w:r>
    </w:p>
    <w:p>
      <w:pPr>
        <w:pStyle w:val="Heading2"/>
        <w:spacing w:before="300" w:after="120"/>
      </w:pPr>
      <w:r>
        <w:rPr>
          <w:rFonts w:ascii="Arial" w:cs="Arial" w:eastAsia="Arial" w:hAnsi="Arial"/>
          <w:b/>
          <w:bCs/>
          <w:color w:val="2C5F8A"/>
          <w:sz w:val="28"/>
          <w:szCs w:val="28"/>
        </w:rPr>
        <w:t xml:space="preserve">9.2 DMN-02: Information Completeness Gate</w:t>
      </w:r>
    </w:p>
    <w:p>
      <w:pPr>
        <w:spacing w:after="120"/>
      </w:pPr>
      <w:r>
        <w:rPr>
          <w:rFonts w:ascii="Arial" w:cs="Arial" w:eastAsia="Arial" w:hAnsi="Arial"/>
          <w:color w:val="2D2D2D"/>
          <w:sz w:val="22"/>
          <w:szCs w:val="22"/>
        </w:rPr>
        <w:t xml:space="preserve">Hit policy: ANY (A). All conditions must be satisfied for Proceed to fire. SLA clock pauses while awaiting requestor response. Task type: </w:t>
      </w:r>
      <w:r>
        <w:rPr>
          <w:rFonts w:ascii="Arial" w:cs="Arial" w:eastAsia="Arial" w:hAnsi="Arial"/>
          <w:b/>
          <w:bCs/>
          <w:color w:val="2D2D2D"/>
          <w:sz w:val="22"/>
          <w:szCs w:val="22"/>
        </w:rPr>
        <w:t xml:space="preserve">Automated (A)</w:t>
      </w:r>
      <w:r>
        <w:rPr>
          <w:rFonts w:ascii="Arial" w:cs="Arial" w:eastAsia="Arial" w:hAnsi="Arial"/>
          <w:color w:val="2D2D2D"/>
          <w:sz w:val="22"/>
          <w:szCs w:val="22"/>
        </w:rPr>
        <w:t xml:space="preserve">.</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500"/>
        <w:gridCol w:w="1300"/>
        <w:gridCol w:w="1300"/>
        <w:gridCol w:w="1300"/>
        <w:gridCol w:w="1200"/>
        <w:gridCol w:w="1100"/>
        <w:gridCol w:w="1200"/>
        <w:gridCol w:w="1360"/>
      </w:tblGrid>
      <w:tr>
        <w:tc>
          <w:tcPr>
            <w:tcW w:type="dxa" w:w="50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130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 Quantified?</w:t>
            </w:r>
          </w:p>
        </w:tc>
        <w:tc>
          <w:tcPr>
            <w:tcW w:type="dxa" w:w="130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Data Class.?</w:t>
            </w:r>
          </w:p>
        </w:tc>
        <w:tc>
          <w:tcPr>
            <w:tcW w:type="dxa" w:w="130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Integration List?</w:t>
            </w:r>
          </w:p>
        </w:tc>
        <w:tc>
          <w:tcPr>
            <w:tcW w:type="dxa" w:w="120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Reg. Flags?</w:t>
            </w:r>
          </w:p>
        </w:tc>
        <w:tc>
          <w:tcPr>
            <w:tcW w:type="dxa" w:w="110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PRD Approved?</w:t>
            </w:r>
          </w:p>
        </w:tc>
        <w:tc>
          <w:tcPr>
            <w:tcW w:type="dxa" w:w="120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Decision</w:t>
            </w:r>
          </w:p>
        </w:tc>
        <w:tc>
          <w:tcPr>
            <w:tcW w:type="dxa" w:w="136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r>
      <w:tr>
        <w:tc>
          <w:tcPr>
            <w:tcW w:type="dxa" w:w="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1</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YES</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YES</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YES</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YES</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YES</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PROCEED</w:t>
            </w:r>
            <w:r>
              <w:rPr>
                <w:rFonts w:ascii="Arial" w:cs="Arial" w:eastAsia="Arial" w:hAnsi="Arial"/>
                <w:color w:val="2D2D2D"/>
                <w:sz w:val="20"/>
                <w:szCs w:val="20"/>
              </w:rPr>
              <w:t xml:space="preserve"/>
            </w:r>
          </w:p>
        </w:tc>
        <w:tc>
          <w:tcPr>
            <w:tcW w:type="dxa" w:w="1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Route to portfolio; Epic created</w:t>
            </w:r>
          </w:p>
        </w:tc>
      </w:tr>
      <w:tr>
        <w:tc>
          <w:tcPr>
            <w:tcW w:type="dxa" w:w="5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2</w:t>
            </w:r>
          </w:p>
        </w:tc>
        <w:tc>
          <w:tcPr>
            <w:tcW w:type="dxa" w:w="13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NO (any)</w:t>
            </w:r>
          </w:p>
        </w:tc>
        <w:tc>
          <w:tcPr>
            <w:tcW w:type="dxa" w:w="13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w:t>
            </w:r>
          </w:p>
        </w:tc>
        <w:tc>
          <w:tcPr>
            <w:tcW w:type="dxa" w:w="13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w:t>
            </w:r>
          </w:p>
        </w:tc>
        <w:tc>
          <w:tcPr>
            <w:tcW w:type="dxa" w:w="12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w:t>
            </w:r>
          </w:p>
        </w:tc>
        <w:tc>
          <w:tcPr>
            <w:tcW w:type="dxa" w:w="11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w:t>
            </w:r>
          </w:p>
        </w:tc>
        <w:tc>
          <w:tcPr>
            <w:tcW w:type="dxa" w:w="12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RETURN</w:t>
            </w:r>
            <w:r>
              <w:rPr>
                <w:rFonts w:ascii="Arial" w:cs="Arial" w:eastAsia="Arial" w:hAnsi="Arial"/>
                <w:color w:val="2D2D2D"/>
                <w:sz w:val="20"/>
                <w:szCs w:val="20"/>
              </w:rPr>
              <w:t xml:space="preserve"/>
            </w:r>
          </w:p>
        </w:tc>
        <w:tc>
          <w:tcPr>
            <w:tcW w:type="dxa" w:w="136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Bot sends targeted follow-up; SLA paused; gap logged</w:t>
            </w:r>
          </w:p>
        </w:tc>
      </w:tr>
      <w:tr>
        <w:tc>
          <w:tcPr>
            <w:tcW w:type="dxa" w:w="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3</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YES</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NO</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RETURN—Escalate</w:t>
            </w:r>
            <w:r>
              <w:rPr>
                <w:rFonts w:ascii="Arial" w:cs="Arial" w:eastAsia="Arial" w:hAnsi="Arial"/>
                <w:color w:val="2D2D2D"/>
                <w:sz w:val="20"/>
                <w:szCs w:val="20"/>
              </w:rPr>
              <w:t xml:space="preserve"/>
            </w:r>
          </w:p>
        </w:tc>
        <w:tc>
          <w:tcPr>
            <w:tcW w:type="dxa" w:w="1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Compliance Governance notified; classification workshop within 3 days</w:t>
            </w:r>
          </w:p>
        </w:tc>
      </w:tr>
      <w:tr>
        <w:tc>
          <w:tcPr>
            <w:tcW w:type="dxa" w:w="5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4</w:t>
            </w:r>
          </w:p>
        </w:tc>
        <w:tc>
          <w:tcPr>
            <w:tcW w:type="dxa" w:w="13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YES</w:t>
            </w:r>
          </w:p>
        </w:tc>
        <w:tc>
          <w:tcPr>
            <w:tcW w:type="dxa" w:w="13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YES</w:t>
            </w:r>
          </w:p>
        </w:tc>
        <w:tc>
          <w:tcPr>
            <w:tcW w:type="dxa" w:w="13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NO</w:t>
            </w:r>
          </w:p>
        </w:tc>
        <w:tc>
          <w:tcPr>
            <w:tcW w:type="dxa" w:w="12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w:t>
            </w:r>
          </w:p>
        </w:tc>
        <w:tc>
          <w:tcPr>
            <w:tcW w:type="dxa" w:w="11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w:t>
            </w:r>
          </w:p>
        </w:tc>
        <w:tc>
          <w:tcPr>
            <w:tcW w:type="dxa" w:w="12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RETURN—Arch Review</w:t>
            </w:r>
            <w:r>
              <w:rPr>
                <w:rFonts w:ascii="Arial" w:cs="Arial" w:eastAsia="Arial" w:hAnsi="Arial"/>
                <w:color w:val="2D2D2D"/>
                <w:sz w:val="20"/>
                <w:szCs w:val="20"/>
              </w:rPr>
              <w:t xml:space="preserve"/>
            </w:r>
          </w:p>
        </w:tc>
        <w:tc>
          <w:tcPr>
            <w:tcW w:type="dxa" w:w="136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Enterprise Architect consulted on integration scope before re-submission</w:t>
            </w:r>
          </w:p>
        </w:tc>
      </w:tr>
    </w:tbl>
    <w:p>
      <w:pPr>
        <w:pStyle w:val="Heading2"/>
        <w:spacing w:before="300" w:after="120"/>
      </w:pPr>
      <w:r>
        <w:rPr>
          <w:rFonts w:ascii="Arial" w:cs="Arial" w:eastAsia="Arial" w:hAnsi="Arial"/>
          <w:b/>
          <w:bCs/>
          <w:color w:val="2C5F8A"/>
          <w:sz w:val="28"/>
          <w:szCs w:val="28"/>
        </w:rPr>
        <w:t xml:space="preserve">9.3 DMN-03: Duplicate, Merge, and Reuse Decision</w:t>
      </w:r>
    </w:p>
    <w:p>
      <w:pPr>
        <w:spacing w:after="120"/>
      </w:pPr>
      <w:r>
        <w:rPr>
          <w:rFonts w:ascii="Arial" w:cs="Arial" w:eastAsia="Arial" w:hAnsi="Arial"/>
          <w:color w:val="2D2D2D"/>
          <w:sz w:val="22"/>
          <w:szCs w:val="22"/>
        </w:rPr>
        <w:t xml:space="preserve">Hit policy: UNIQUE (U). Fires after automated Software Registry and backlog scan. Task type: </w:t>
      </w:r>
      <w:r>
        <w:rPr>
          <w:rFonts w:ascii="Arial" w:cs="Arial" w:eastAsia="Arial" w:hAnsi="Arial"/>
          <w:b/>
          <w:bCs/>
          <w:color w:val="2D2D2D"/>
          <w:sz w:val="22"/>
          <w:szCs w:val="22"/>
        </w:rPr>
        <w:t xml:space="preserve">Automated (A)</w:t>
      </w:r>
      <w:r>
        <w:rPr>
          <w:rFonts w:ascii="Arial" w:cs="Arial" w:eastAsia="Arial" w:hAnsi="Arial"/>
          <w:color w:val="2D2D2D"/>
          <w:sz w:val="22"/>
          <w:szCs w:val="22"/>
        </w:rPr>
        <w:t xml:space="preserve"> for scoring; </w:t>
      </w:r>
      <w:r>
        <w:rPr>
          <w:rFonts w:ascii="Arial" w:cs="Arial" w:eastAsia="Arial" w:hAnsi="Arial"/>
          <w:b/>
          <w:bCs/>
          <w:color w:val="2D2D2D"/>
          <w:sz w:val="22"/>
          <w:szCs w:val="22"/>
        </w:rPr>
        <w:t xml:space="preserve">Human-in-the-Loop (H)</w:t>
      </w:r>
      <w:r>
        <w:rPr>
          <w:rFonts w:ascii="Arial" w:cs="Arial" w:eastAsia="Arial" w:hAnsi="Arial"/>
          <w:color w:val="2D2D2D"/>
          <w:sz w:val="22"/>
          <w:szCs w:val="22"/>
        </w:rPr>
        <w:t xml:space="preserve"> for reuse assessment meetings.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200"/>
        <w:gridCol w:w="1200"/>
        <w:gridCol w:w="1200"/>
        <w:gridCol w:w="1500"/>
        <w:gridCol w:w="1500"/>
        <w:gridCol w:w="2260"/>
      </w:tblGrid>
      <w:tr>
        <w:tc>
          <w:tcPr>
            <w:tcW w:type="dxa" w:w="50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120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Registry Match</w:t>
            </w:r>
          </w:p>
        </w:tc>
        <w:tc>
          <w:tcPr>
            <w:tcW w:type="dxa" w:w="120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Backlog Match</w:t>
            </w:r>
          </w:p>
        </w:tc>
        <w:tc>
          <w:tcPr>
            <w:tcW w:type="dxa" w:w="120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Match Type</w:t>
            </w:r>
          </w:p>
        </w:tc>
        <w:tc>
          <w:tcPr>
            <w:tcW w:type="dxa" w:w="150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Decision</w:t>
            </w:r>
          </w:p>
        </w:tc>
        <w:tc>
          <w:tcPr>
            <w:tcW w:type="dxa" w:w="150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Task Type</w:t>
            </w:r>
          </w:p>
        </w:tc>
        <w:tc>
          <w:tcPr>
            <w:tcW w:type="dxa" w:w="226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r>
      <w:tr>
        <w:tc>
          <w:tcPr>
            <w:tcW w:type="dxa" w:w="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1</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&gt;90%</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Exact capability</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CLOSE</w:t>
            </w:r>
            <w:r>
              <w:rPr>
                <w:rFonts w:ascii="Arial" w:cs="Arial" w:eastAsia="Arial" w:hAnsi="Arial"/>
                <w:color w:val="2D2D2D"/>
                <w:sz w:val="20"/>
                <w:szCs w:val="20"/>
              </w:rPr>
              <w:t xml:space="preserve"/>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A</w:t>
            </w:r>
          </w:p>
        </w:tc>
        <w:tc>
          <w:tcPr>
            <w:tcW w:type="dxa" w:w="2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Redirect to ITSM; close intake record</w:t>
            </w:r>
          </w:p>
        </w:tc>
      </w:tr>
      <w:tr>
        <w:tc>
          <w:tcPr>
            <w:tcW w:type="dxa" w:w="5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2</w:t>
            </w:r>
          </w:p>
        </w:tc>
        <w:tc>
          <w:tcPr>
            <w:tcW w:type="dxa" w:w="12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70–90%</w:t>
            </w:r>
          </w:p>
        </w:tc>
        <w:tc>
          <w:tcPr>
            <w:tcW w:type="dxa" w:w="12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w:t>
            </w:r>
          </w:p>
        </w:tc>
        <w:tc>
          <w:tcPr>
            <w:tcW w:type="dxa" w:w="12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Partial capability</w:t>
            </w:r>
          </w:p>
        </w:tc>
        <w:tc>
          <w:tcPr>
            <w:tcW w:type="dxa" w:w="15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REUSE ASSESSMENT</w:t>
            </w:r>
            <w:r>
              <w:rPr>
                <w:rFonts w:ascii="Arial" w:cs="Arial" w:eastAsia="Arial" w:hAnsi="Arial"/>
                <w:color w:val="2D2D2D"/>
                <w:sz w:val="20"/>
                <w:szCs w:val="20"/>
              </w:rPr>
              <w:t xml:space="preserve"/>
            </w:r>
          </w:p>
        </w:tc>
        <w:tc>
          <w:tcPr>
            <w:tcW w:type="dxa" w:w="15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H</w:t>
            </w:r>
          </w:p>
        </w:tc>
        <w:tc>
          <w:tcPr>
            <w:tcW w:type="dxa" w:w="226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Product Owner + requestor meeting within 5 days; gap-fill evaluated</w:t>
            </w:r>
          </w:p>
        </w:tc>
      </w:tr>
      <w:tr>
        <w:tc>
          <w:tcPr>
            <w:tcW w:type="dxa" w:w="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3</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&gt;85%</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In-flight match</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MERGE OFFER</w:t>
            </w:r>
            <w:r>
              <w:rPr>
                <w:rFonts w:ascii="Arial" w:cs="Arial" w:eastAsia="Arial" w:hAnsi="Arial"/>
                <w:color w:val="2D2D2D"/>
                <w:sz w:val="20"/>
                <w:szCs w:val="20"/>
              </w:rPr>
              <w:t xml:space="preserve"/>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H</w:t>
            </w:r>
          </w:p>
        </w:tc>
        <w:tc>
          <w:tcPr>
            <w:tcW w:type="dxa" w:w="2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If declined, proceed as separate with rationale logged</w:t>
            </w:r>
          </w:p>
        </w:tc>
      </w:tr>
      <w:tr>
        <w:tc>
          <w:tcPr>
            <w:tcW w:type="dxa" w:w="5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4</w:t>
            </w:r>
          </w:p>
        </w:tc>
        <w:tc>
          <w:tcPr>
            <w:tcW w:type="dxa" w:w="12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w:t>
            </w:r>
          </w:p>
        </w:tc>
        <w:tc>
          <w:tcPr>
            <w:tcW w:type="dxa" w:w="12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50–85%</w:t>
            </w:r>
          </w:p>
        </w:tc>
        <w:tc>
          <w:tcPr>
            <w:tcW w:type="dxa" w:w="12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Similar in-flight</w:t>
            </w:r>
          </w:p>
        </w:tc>
        <w:tc>
          <w:tcPr>
            <w:tcW w:type="dxa" w:w="15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STRATEGIC REVIEW</w:t>
            </w:r>
            <w:r>
              <w:rPr>
                <w:rFonts w:ascii="Arial" w:cs="Arial" w:eastAsia="Arial" w:hAnsi="Arial"/>
                <w:color w:val="2D2D2D"/>
                <w:sz w:val="20"/>
                <w:szCs w:val="20"/>
              </w:rPr>
              <w:t xml:space="preserve"/>
            </w:r>
          </w:p>
        </w:tc>
        <w:tc>
          <w:tcPr>
            <w:tcW w:type="dxa" w:w="15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H</w:t>
            </w:r>
          </w:p>
        </w:tc>
        <w:tc>
          <w:tcPr>
            <w:tcW w:type="dxa" w:w="226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Portfolio Council reviews together at next cycle</w:t>
            </w:r>
          </w:p>
        </w:tc>
      </w:tr>
      <w:tr>
        <w:tc>
          <w:tcPr>
            <w:tcW w:type="dxa" w:w="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5</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&lt;70%</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&lt;50%</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No significant match</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PROCEED</w:t>
            </w:r>
            <w:r>
              <w:rPr>
                <w:rFonts w:ascii="Arial" w:cs="Arial" w:eastAsia="Arial" w:hAnsi="Arial"/>
                <w:color w:val="2D2D2D"/>
                <w:sz w:val="20"/>
                <w:szCs w:val="20"/>
              </w:rPr>
              <w:t xml:space="preserve"/>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A</w:t>
            </w:r>
          </w:p>
        </w:tc>
        <w:tc>
          <w:tcPr>
            <w:tcW w:type="dxa" w:w="2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Continue to portfolio prioritization as new request</w:t>
            </w:r>
          </w:p>
        </w:tc>
      </w:tr>
    </w:tbl>
    <w:p>
      <w:r>
        <w:br w:type="page"/>
      </w:r>
    </w:p>
    <w:p>
      <w:pPr>
        <w:pStyle w:val="Heading1"/>
      </w:pPr>
      <w:r>
        <w:rPr>
          <w:rFonts w:ascii="Arial" w:cs="Arial" w:eastAsia="Arial" w:hAnsi="Arial"/>
          <w:b/>
          <w:bCs/>
          <w:color w:val="1B3A5C"/>
          <w:sz w:val="36"/>
          <w:szCs w:val="36"/>
        </w:rPr>
        <w:t xml:space="preserve">10. Phase 4: Portfolio Prioritization, Go/No-Go, and Strategic Alignment</w:t>
      </w:r>
    </w:p>
    <w:p>
      <w:pPr>
        <w:pBdr>
          <w:bottom w:val="single" w:color="1B3A5C" w:sz="6"/>
        </w:pBdr>
        <w:spacing w:before="300"/>
      </w:pPr>
    </w:p>
    <w:p>
      <w:pPr>
        <w:shd w:fill="1B3A5C" w:val="clear"/>
        <w:spacing w:before="120" w:after="60"/>
        <w:ind w:left="120" w:right="120"/>
      </w:pPr>
      <w:r>
        <w:rPr>
          <w:rFonts w:ascii="Arial" w:cs="Arial" w:eastAsia="Arial" w:hAnsi="Arial"/>
          <w:b/>
          <w:bCs/>
          <w:color w:val="FFFFFF"/>
          <w:sz w:val="24"/>
          <w:szCs w:val="24"/>
        </w:rPr>
        <w:t xml:space="preserve">P4  </w:t>
      </w:r>
      <w:r>
        <w:rPr>
          <w:rFonts w:ascii="Arial" w:cs="Arial" w:eastAsia="Arial" w:hAnsi="Arial"/>
          <w:b/>
          <w:bCs/>
          <w:color w:val="FFFFFF"/>
          <w:sz w:val="24"/>
          <w:szCs w:val="24"/>
        </w:rPr>
        <w:t xml:space="preserve">Portfolio Prioritization and Go/No-Go</w:t>
      </w:r>
    </w:p>
    <w:p>
      <w:pPr>
        <w:shd w:fill="E8F4FD" w:val="clear"/>
        <w:spacing w:after="200"/>
        <w:ind w:left="120" w:right="120"/>
      </w:pPr>
      <w:r>
        <w:rPr>
          <w:rFonts w:ascii="Arial" w:cs="Arial" w:eastAsia="Arial" w:hAnsi="Arial"/>
          <w:i/>
          <w:iCs/>
          <w:color w:val="2D2D2D"/>
          <w:sz w:val="20"/>
          <w:szCs w:val="20"/>
        </w:rPr>
        <w:t xml:space="preserve">Cross-functional Council. DMN-04 (Go/No-Go) and DMN-05 (Buy vs. Build). Backlog entry or rejection with documented rationale. Task type: Human-in-the-Loop (H).</w:t>
      </w:r>
    </w:p>
    <w:p>
      <w:pPr>
        <w:pStyle w:val="Heading2"/>
        <w:spacing w:before="300" w:after="120"/>
      </w:pPr>
      <w:r>
        <w:rPr>
          <w:rFonts w:ascii="Arial" w:cs="Arial" w:eastAsia="Arial" w:hAnsi="Arial"/>
          <w:b/>
          <w:bCs/>
          <w:color w:val="2C5F8A"/>
          <w:sz w:val="28"/>
          <w:szCs w:val="28"/>
        </w:rPr>
        <w:t xml:space="preserve">10.1 Portfolio Governance Council</w:t>
      </w:r>
    </w:p>
    <w:p>
      <w:pPr>
        <w:spacing w:after="120"/>
      </w:pPr>
      <w:r>
        <w:rPr>
          <w:rFonts w:ascii="Arial" w:cs="Arial" w:eastAsia="Arial" w:hAnsi="Arial"/>
          <w:color w:val="2D2D2D"/>
          <w:sz w:val="22"/>
          <w:szCs w:val="22"/>
        </w:rPr>
        <w:t xml:space="preserve">The Portfolio Governance Council is a standing, cross-functional governance body (recommended cadence: bi-weekly for standard requests; ad hoc for urgent or high-score requests). It comprises representatives from Technology, Product, Procurement, Risk, Finance, and Compliance functions. The Council reviews DMN outputs as structured inputs—it retains full human override authority, which is logged with rationale and reviewer role.</w:t>
      </w:r>
    </w:p>
    <w:p>
      <w:pPr>
        <w:pStyle w:val="Heading2"/>
        <w:spacing w:before="300" w:after="120"/>
      </w:pPr>
      <w:r>
        <w:rPr>
          <w:rFonts w:ascii="Arial" w:cs="Arial" w:eastAsia="Arial" w:hAnsi="Arial"/>
          <w:b/>
          <w:bCs/>
          <w:color w:val="2C5F8A"/>
          <w:sz w:val="28"/>
          <w:szCs w:val="28"/>
        </w:rPr>
        <w:t xml:space="preserve">10.2 DMN-04: Go/No-Go Viability</w:t>
      </w:r>
    </w:p>
    <w:p>
      <w:pPr>
        <w:spacing w:after="120"/>
      </w:pPr>
      <w:r>
        <w:rPr>
          <w:rFonts w:ascii="Arial" w:cs="Arial" w:eastAsia="Arial" w:hAnsi="Arial"/>
          <w:color w:val="2D2D2D"/>
          <w:sz w:val="22"/>
          <w:szCs w:val="22"/>
        </w:rPr>
        <w:t xml:space="preserve">Hit policy: PRIORITY (P). A single veto condition overrides all positive signals. All overrides logged with reviewer role and rationale.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000"/>
        <w:gridCol w:w="1000"/>
        <w:gridCol w:w="1100"/>
        <w:gridCol w:w="900"/>
        <w:gridCol w:w="900"/>
        <w:gridCol w:w="1200"/>
        <w:gridCol w:w="2760"/>
      </w:tblGrid>
      <w:tr>
        <w:tc>
          <w:tcPr>
            <w:tcW w:type="dxa" w:w="50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100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Score</w:t>
            </w:r>
          </w:p>
        </w:tc>
        <w:tc>
          <w:tcPr>
            <w:tcW w:type="dxa" w:w="100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Strategic</w:t>
            </w:r>
          </w:p>
        </w:tc>
        <w:tc>
          <w:tcPr>
            <w:tcW w:type="dxa" w:w="110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Reg. Risk</w:t>
            </w:r>
          </w:p>
        </w:tc>
        <w:tc>
          <w:tcPr>
            <w:tcW w:type="dxa" w:w="90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Budget?</w:t>
            </w:r>
          </w:p>
        </w:tc>
        <w:tc>
          <w:tcPr>
            <w:tcW w:type="dxa" w:w="90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Resources?</w:t>
            </w:r>
          </w:p>
        </w:tc>
        <w:tc>
          <w:tcPr>
            <w:tcW w:type="dxa" w:w="120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Decision</w:t>
            </w:r>
          </w:p>
        </w:tc>
        <w:tc>
          <w:tcPr>
            <w:tcW w:type="dxa" w:w="276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r>
      <w:tr>
        <w:tc>
          <w:tcPr>
            <w:tcW w:type="dxa" w:w="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1</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≥80</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High</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Compliant</w:t>
            </w:r>
          </w:p>
        </w:tc>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YES</w:t>
            </w:r>
          </w:p>
        </w:tc>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YES</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GO—Priority</w:t>
            </w:r>
            <w:r>
              <w:rPr>
                <w:rFonts w:ascii="Arial" w:cs="Arial" w:eastAsia="Arial" w:hAnsi="Arial"/>
                <w:color w:val="2D2D2D"/>
                <w:sz w:val="20"/>
                <w:szCs w:val="20"/>
              </w:rPr>
              <w:t xml:space="preserve"/>
            </w:r>
          </w:p>
        </w:tc>
        <w:tc>
          <w:tcPr>
            <w:tcW w:type="dxa" w:w="27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Fast-lane into backlog; accelerated sprint planning; PMO notified</w:t>
            </w:r>
          </w:p>
        </w:tc>
      </w:tr>
      <w:tr>
        <w:tc>
          <w:tcPr>
            <w:tcW w:type="dxa" w:w="5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2</w:t>
            </w:r>
          </w:p>
        </w:tc>
        <w:tc>
          <w:tcPr>
            <w:tcW w:type="dxa" w:w="10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60–79</w:t>
            </w:r>
          </w:p>
        </w:tc>
        <w:tc>
          <w:tcPr>
            <w:tcW w:type="dxa" w:w="10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Medium+</w:t>
            </w:r>
          </w:p>
        </w:tc>
        <w:tc>
          <w:tcPr>
            <w:tcW w:type="dxa" w:w="11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Compliant</w:t>
            </w:r>
          </w:p>
        </w:tc>
        <w:tc>
          <w:tcPr>
            <w:tcW w:type="dxa" w:w="9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YES</w:t>
            </w:r>
          </w:p>
        </w:tc>
        <w:tc>
          <w:tcPr>
            <w:tcW w:type="dxa" w:w="9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YES</w:t>
            </w:r>
          </w:p>
        </w:tc>
        <w:tc>
          <w:tcPr>
            <w:tcW w:type="dxa" w:w="12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GO—Standard</w:t>
            </w:r>
            <w:r>
              <w:rPr>
                <w:rFonts w:ascii="Arial" w:cs="Arial" w:eastAsia="Arial" w:hAnsi="Arial"/>
                <w:color w:val="2D2D2D"/>
                <w:sz w:val="20"/>
                <w:szCs w:val="20"/>
              </w:rPr>
              <w:t xml:space="preserve"/>
            </w:r>
          </w:p>
        </w:tc>
        <w:tc>
          <w:tcPr>
            <w:tcW w:type="dxa" w:w="276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Enter backlog at standard priority; next available sprint</w:t>
            </w:r>
          </w:p>
        </w:tc>
      </w:tr>
      <w:tr>
        <w:tc>
          <w:tcPr>
            <w:tcW w:type="dxa" w:w="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3</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60–79</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Any</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Compliant</w:t>
            </w:r>
          </w:p>
        </w:tc>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YES</w:t>
            </w:r>
          </w:p>
        </w:tc>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NO</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GO—Conditional</w:t>
            </w:r>
            <w:r>
              <w:rPr>
                <w:rFonts w:ascii="Arial" w:cs="Arial" w:eastAsia="Arial" w:hAnsi="Arial"/>
                <w:color w:val="2D2D2D"/>
                <w:sz w:val="20"/>
                <w:szCs w:val="20"/>
              </w:rPr>
              <w:t xml:space="preserve"/>
            </w:r>
          </w:p>
        </w:tc>
        <w:tc>
          <w:tcPr>
            <w:tcW w:type="dxa" w:w="27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Enter backlog; resource dependency logged; capacity forecast updated</w:t>
            </w:r>
          </w:p>
        </w:tc>
      </w:tr>
      <w:tr>
        <w:tc>
          <w:tcPr>
            <w:tcW w:type="dxa" w:w="5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4</w:t>
            </w:r>
          </w:p>
        </w:tc>
        <w:tc>
          <w:tcPr>
            <w:tcW w:type="dxa" w:w="10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40–59</w:t>
            </w:r>
          </w:p>
        </w:tc>
        <w:tc>
          <w:tcPr>
            <w:tcW w:type="dxa" w:w="10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Any</w:t>
            </w:r>
          </w:p>
        </w:tc>
        <w:tc>
          <w:tcPr>
            <w:tcW w:type="dxa" w:w="11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Compliant</w:t>
            </w:r>
          </w:p>
        </w:tc>
        <w:tc>
          <w:tcPr>
            <w:tcW w:type="dxa" w:w="9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w:t>
            </w:r>
          </w:p>
        </w:tc>
        <w:tc>
          <w:tcPr>
            <w:tcW w:type="dxa" w:w="9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w:t>
            </w:r>
          </w:p>
        </w:tc>
        <w:tc>
          <w:tcPr>
            <w:tcW w:type="dxa" w:w="12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DEFER</w:t>
            </w:r>
            <w:r>
              <w:rPr>
                <w:rFonts w:ascii="Arial" w:cs="Arial" w:eastAsia="Arial" w:hAnsi="Arial"/>
                <w:color w:val="2D2D2D"/>
                <w:sz w:val="20"/>
                <w:szCs w:val="20"/>
              </w:rPr>
              <w:t xml:space="preserve"/>
            </w:r>
          </w:p>
        </w:tc>
        <w:tc>
          <w:tcPr>
            <w:tcW w:type="dxa" w:w="276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Park 90 days; auto re-evaluate at next planning cycle</w:t>
            </w:r>
          </w:p>
        </w:tc>
      </w:tr>
      <w:tr>
        <w:tc>
          <w:tcPr>
            <w:tcW w:type="dxa" w:w="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5</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Any</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Any</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Non-compliant</w:t>
            </w:r>
          </w:p>
        </w:tc>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w:t>
            </w:r>
          </w:p>
        </w:tc>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NO-GO—Reg Hold</w:t>
            </w:r>
            <w:r>
              <w:rPr>
                <w:rFonts w:ascii="Arial" w:cs="Arial" w:eastAsia="Arial" w:hAnsi="Arial"/>
                <w:color w:val="2D2D2D"/>
                <w:sz w:val="20"/>
                <w:szCs w:val="20"/>
              </w:rPr>
              <w:t xml:space="preserve"/>
            </w:r>
          </w:p>
        </w:tc>
        <w:tc>
          <w:tcPr>
            <w:tcW w:type="dxa" w:w="27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Risk and Compliance notified; held pending resolution within 30 days</w:t>
            </w:r>
          </w:p>
        </w:tc>
      </w:tr>
      <w:tr>
        <w:tc>
          <w:tcPr>
            <w:tcW w:type="dxa" w:w="5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6</w:t>
            </w:r>
          </w:p>
        </w:tc>
        <w:tc>
          <w:tcPr>
            <w:tcW w:type="dxa" w:w="10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&lt;40</w:t>
            </w:r>
          </w:p>
        </w:tc>
        <w:tc>
          <w:tcPr>
            <w:tcW w:type="dxa" w:w="10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Low</w:t>
            </w:r>
          </w:p>
        </w:tc>
        <w:tc>
          <w:tcPr>
            <w:tcW w:type="dxa" w:w="11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Compliant</w:t>
            </w:r>
          </w:p>
        </w:tc>
        <w:tc>
          <w:tcPr>
            <w:tcW w:type="dxa" w:w="9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w:t>
            </w:r>
          </w:p>
        </w:tc>
        <w:tc>
          <w:tcPr>
            <w:tcW w:type="dxa" w:w="9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w:t>
            </w:r>
          </w:p>
        </w:tc>
        <w:tc>
          <w:tcPr>
            <w:tcW w:type="dxa" w:w="12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NO-GO—Reject</w:t>
            </w:r>
            <w:r>
              <w:rPr>
                <w:rFonts w:ascii="Arial" w:cs="Arial" w:eastAsia="Arial" w:hAnsi="Arial"/>
                <w:color w:val="2D2D2D"/>
                <w:sz w:val="20"/>
                <w:szCs w:val="20"/>
              </w:rPr>
              <w:t xml:space="preserve"/>
            </w:r>
          </w:p>
        </w:tc>
        <w:tc>
          <w:tcPr>
            <w:tcW w:type="dxa" w:w="276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Close with documented rationale; requestor notified</w:t>
            </w:r>
          </w:p>
        </w:tc>
      </w:tr>
      <w:tr>
        <w:tc>
          <w:tcPr>
            <w:tcW w:type="dxa" w:w="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7</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Any</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Any</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Compliant</w:t>
            </w:r>
          </w:p>
        </w:tc>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NO</w:t>
            </w:r>
          </w:p>
        </w:tc>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NO-GO—Budget</w:t>
            </w:r>
            <w:r>
              <w:rPr>
                <w:rFonts w:ascii="Arial" w:cs="Arial" w:eastAsia="Arial" w:hAnsi="Arial"/>
                <w:color w:val="2D2D2D"/>
                <w:sz w:val="20"/>
                <w:szCs w:val="20"/>
              </w:rPr>
              <w:t xml:space="preserve"/>
            </w:r>
          </w:p>
        </w:tc>
        <w:tc>
          <w:tcPr>
            <w:tcW w:type="dxa" w:w="27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Re-evaluated in next budget planning cycle</w:t>
            </w:r>
          </w:p>
        </w:tc>
      </w:tr>
    </w:tbl>
    <w:p>
      <w:pPr>
        <w:pStyle w:val="Heading2"/>
        <w:spacing w:before="300" w:after="120"/>
      </w:pPr>
      <w:r>
        <w:rPr>
          <w:rFonts w:ascii="Arial" w:cs="Arial" w:eastAsia="Arial" w:hAnsi="Arial"/>
          <w:b/>
          <w:bCs/>
          <w:color w:val="2C5F8A"/>
          <w:sz w:val="28"/>
          <w:szCs w:val="28"/>
        </w:rPr>
        <w:t xml:space="preserve">10.3 DMN-05: Buy vs. Build Analysis</w:t>
      </w:r>
    </w:p>
    <w:p>
      <w:pPr>
        <w:spacing w:after="120"/>
      </w:pPr>
      <w:r>
        <w:rPr>
          <w:rFonts w:ascii="Arial" w:cs="Arial" w:eastAsia="Arial" w:hAnsi="Arial"/>
          <w:color w:val="2D2D2D"/>
          <w:sz w:val="22"/>
          <w:szCs w:val="22"/>
        </w:rPr>
        <w:t xml:space="preserve">Hit policy: UNIQUE (U). Evaluated across five dimensions.</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500"/>
        <w:gridCol w:w="1200"/>
        <w:gridCol w:w="1200"/>
        <w:gridCol w:w="1200"/>
        <w:gridCol w:w="1100"/>
        <w:gridCol w:w="1100"/>
        <w:gridCol w:w="1200"/>
        <w:gridCol w:w="1560"/>
      </w:tblGrid>
      <w:tr>
        <w:tc>
          <w:tcPr>
            <w:tcW w:type="dxa" w:w="50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120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Market Soln?</w:t>
            </w:r>
          </w:p>
        </w:tc>
        <w:tc>
          <w:tcPr>
            <w:tcW w:type="dxa" w:w="120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5yr TCO</w:t>
            </w:r>
          </w:p>
        </w:tc>
        <w:tc>
          <w:tcPr>
            <w:tcW w:type="dxa" w:w="120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IP Diff.?</w:t>
            </w:r>
          </w:p>
        </w:tc>
        <w:tc>
          <w:tcPr>
            <w:tcW w:type="dxa" w:w="110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Complexity</w:t>
            </w:r>
          </w:p>
        </w:tc>
        <w:tc>
          <w:tcPr>
            <w:tcW w:type="dxa" w:w="110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Strategic Fit</w:t>
            </w:r>
          </w:p>
        </w:tc>
        <w:tc>
          <w:tcPr>
            <w:tcW w:type="dxa" w:w="120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Decision</w:t>
            </w:r>
          </w:p>
        </w:tc>
        <w:tc>
          <w:tcPr>
            <w:tcW w:type="dxa" w:w="156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1</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YES</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Buy &lt; Build &gt;20%</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NO</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Any</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Standard</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BUY</w:t>
            </w:r>
            <w:r>
              <w:rPr>
                <w:rFonts w:ascii="Arial" w:cs="Arial" w:eastAsia="Arial" w:hAnsi="Arial"/>
                <w:color w:val="2D2D2D"/>
                <w:sz w:val="20"/>
                <w:szCs w:val="20"/>
              </w:rPr>
              <w:t xml:space="preserve"/>
            </w:r>
          </w:p>
        </w:tc>
        <w:tc>
          <w:tcPr>
            <w:tcW w:type="dxa" w:w="1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Market solution viable; lower TCO; no differentiation value</w:t>
            </w:r>
          </w:p>
        </w:tc>
      </w:tr>
      <w:tr>
        <w:tc>
          <w:tcPr>
            <w:tcW w:type="dxa" w:w="5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2</w:t>
            </w:r>
          </w:p>
        </w:tc>
        <w:tc>
          <w:tcPr>
            <w:tcW w:type="dxa" w:w="12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YES</w:t>
            </w:r>
          </w:p>
        </w:tc>
        <w:tc>
          <w:tcPr>
            <w:tcW w:type="dxa" w:w="12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Build &lt; Buy &gt;20%</w:t>
            </w:r>
          </w:p>
        </w:tc>
        <w:tc>
          <w:tcPr>
            <w:tcW w:type="dxa" w:w="12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YES</w:t>
            </w:r>
          </w:p>
        </w:tc>
        <w:tc>
          <w:tcPr>
            <w:tcW w:type="dxa" w:w="11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Low–Med</w:t>
            </w:r>
          </w:p>
        </w:tc>
        <w:tc>
          <w:tcPr>
            <w:tcW w:type="dxa" w:w="11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High</w:t>
            </w:r>
          </w:p>
        </w:tc>
        <w:tc>
          <w:tcPr>
            <w:tcW w:type="dxa" w:w="12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BUILD</w:t>
            </w:r>
            <w:r>
              <w:rPr>
                <w:rFonts w:ascii="Arial" w:cs="Arial" w:eastAsia="Arial" w:hAnsi="Arial"/>
                <w:color w:val="2D2D2D"/>
                <w:sz w:val="20"/>
                <w:szCs w:val="20"/>
              </w:rPr>
              <w:t xml:space="preserve"/>
            </w:r>
          </w:p>
        </w:tc>
        <w:tc>
          <w:tcPr>
            <w:tcW w:type="dxa" w:w="156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IP differentiation; manageable complexity</w:t>
            </w:r>
          </w:p>
        </w:tc>
      </w:tr>
      <w:tr>
        <w:tc>
          <w:tcPr>
            <w:tcW w:type="dxa" w:w="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3</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YES</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Within 20%</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Partial</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Medium</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High</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HYBRID</w:t>
            </w:r>
            <w:r>
              <w:rPr>
                <w:rFonts w:ascii="Arial" w:cs="Arial" w:eastAsia="Arial" w:hAnsi="Arial"/>
                <w:color w:val="2D2D2D"/>
                <w:sz w:val="20"/>
                <w:szCs w:val="20"/>
              </w:rPr>
              <w:t xml:space="preserve"/>
            </w:r>
          </w:p>
        </w:tc>
        <w:tc>
          <w:tcPr>
            <w:tcW w:type="dxa" w:w="1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Buy core; build proprietary extension</w:t>
            </w:r>
          </w:p>
        </w:tc>
      </w:tr>
      <w:tr>
        <w:tc>
          <w:tcPr>
            <w:tcW w:type="dxa" w:w="5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4</w:t>
            </w:r>
          </w:p>
        </w:tc>
        <w:tc>
          <w:tcPr>
            <w:tcW w:type="dxa" w:w="12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NO</w:t>
            </w:r>
          </w:p>
        </w:tc>
        <w:tc>
          <w:tcPr>
            <w:tcW w:type="dxa" w:w="12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N/A</w:t>
            </w:r>
          </w:p>
        </w:tc>
        <w:tc>
          <w:tcPr>
            <w:tcW w:type="dxa" w:w="12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YES</w:t>
            </w:r>
          </w:p>
        </w:tc>
        <w:tc>
          <w:tcPr>
            <w:tcW w:type="dxa" w:w="11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Any</w:t>
            </w:r>
          </w:p>
        </w:tc>
        <w:tc>
          <w:tcPr>
            <w:tcW w:type="dxa" w:w="11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High</w:t>
            </w:r>
          </w:p>
        </w:tc>
        <w:tc>
          <w:tcPr>
            <w:tcW w:type="dxa" w:w="12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BUILD</w:t>
            </w:r>
            <w:r>
              <w:rPr>
                <w:rFonts w:ascii="Arial" w:cs="Arial" w:eastAsia="Arial" w:hAnsi="Arial"/>
                <w:color w:val="2D2D2D"/>
                <w:sz w:val="20"/>
                <w:szCs w:val="20"/>
              </w:rPr>
              <w:t xml:space="preserve"/>
            </w:r>
          </w:p>
        </w:tc>
        <w:tc>
          <w:tcPr>
            <w:tcW w:type="dxa" w:w="156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No market solution; differentiation required</w:t>
            </w:r>
          </w:p>
        </w:tc>
      </w:tr>
      <w:tr>
        <w:tc>
          <w:tcPr>
            <w:tcW w:type="dxa" w:w="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5</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NO</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N/A</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NO</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High</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Any</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DEFER</w:t>
            </w:r>
            <w:r>
              <w:rPr>
                <w:rFonts w:ascii="Arial" w:cs="Arial" w:eastAsia="Arial" w:hAnsi="Arial"/>
                <w:color w:val="2D2D2D"/>
                <w:sz w:val="20"/>
                <w:szCs w:val="20"/>
              </w:rPr>
              <w:t xml:space="preserve"/>
            </w:r>
          </w:p>
        </w:tc>
        <w:tc>
          <w:tcPr>
            <w:tcW w:type="dxa" w:w="1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No market solution; high complexity; re-evaluate in 6 months</w:t>
            </w:r>
          </w:p>
        </w:tc>
      </w:tr>
      <w:tr>
        <w:tc>
          <w:tcPr>
            <w:tcW w:type="dxa" w:w="5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6</w:t>
            </w:r>
          </w:p>
        </w:tc>
        <w:tc>
          <w:tcPr>
            <w:tcW w:type="dxa" w:w="12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YES</w:t>
            </w:r>
          </w:p>
        </w:tc>
        <w:tc>
          <w:tcPr>
            <w:tcW w:type="dxa" w:w="12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Buy &lt; Build</w:t>
            </w:r>
          </w:p>
        </w:tc>
        <w:tc>
          <w:tcPr>
            <w:tcW w:type="dxa" w:w="12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NO</w:t>
            </w:r>
          </w:p>
        </w:tc>
        <w:tc>
          <w:tcPr>
            <w:tcW w:type="dxa" w:w="11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Low</w:t>
            </w:r>
          </w:p>
        </w:tc>
        <w:tc>
          <w:tcPr>
            <w:tcW w:type="dxa" w:w="11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Low</w:t>
            </w:r>
          </w:p>
        </w:tc>
        <w:tc>
          <w:tcPr>
            <w:tcW w:type="dxa" w:w="12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BUY—Fast</w:t>
            </w:r>
            <w:r>
              <w:rPr>
                <w:rFonts w:ascii="Arial" w:cs="Arial" w:eastAsia="Arial" w:hAnsi="Arial"/>
                <w:color w:val="2D2D2D"/>
                <w:sz w:val="20"/>
                <w:szCs w:val="20"/>
              </w:rPr>
              <w:t xml:space="preserve"/>
            </w:r>
          </w:p>
        </w:tc>
        <w:tc>
          <w:tcPr>
            <w:tcW w:type="dxa" w:w="156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Standard commercial procurement; abbreviated process</w:t>
            </w:r>
          </w:p>
        </w:tc>
      </w:tr>
    </w:tbl>
    <w:p>
      <w:r>
        <w:br w:type="page"/>
      </w:r>
    </w:p>
    <w:p>
      <w:pPr>
        <w:pStyle w:val="Heading1"/>
      </w:pPr>
      <w:r>
        <w:rPr>
          <w:rFonts w:ascii="Arial" w:cs="Arial" w:eastAsia="Arial" w:hAnsi="Arial"/>
          <w:b/>
          <w:bCs/>
          <w:color w:val="1B3A5C"/>
          <w:sz w:val="36"/>
          <w:szCs w:val="36"/>
        </w:rPr>
        <w:t xml:space="preserve">11. Phase 5A: Product Development Life Cycle (Build Pathway)</w:t>
      </w:r>
    </w:p>
    <w:p>
      <w:pPr>
        <w:pBdr>
          <w:bottom w:val="single" w:color="1B3A5C" w:sz="6"/>
        </w:pBdr>
        <w:spacing w:before="300"/>
      </w:pPr>
    </w:p>
    <w:p>
      <w:pPr>
        <w:shd w:fill="1B3A5C" w:val="clear"/>
        <w:spacing w:before="120" w:after="60"/>
        <w:ind w:left="120" w:right="120"/>
      </w:pPr>
      <w:r>
        <w:rPr>
          <w:rFonts w:ascii="Arial" w:cs="Arial" w:eastAsia="Arial" w:hAnsi="Arial"/>
          <w:b/>
          <w:bCs/>
          <w:color w:val="FFFFFF"/>
          <w:sz w:val="24"/>
          <w:szCs w:val="24"/>
        </w:rPr>
        <w:t xml:space="preserve">P5A  </w:t>
      </w:r>
      <w:r>
        <w:rPr>
          <w:rFonts w:ascii="Arial" w:cs="Arial" w:eastAsia="Arial" w:hAnsi="Arial"/>
          <w:b/>
          <w:bCs/>
          <w:color w:val="FFFFFF"/>
          <w:sz w:val="24"/>
          <w:szCs w:val="24"/>
        </w:rPr>
        <w:t xml:space="preserve">Product Development Life Cycle (Build)</w:t>
      </w:r>
    </w:p>
    <w:p>
      <w:pPr>
        <w:shd w:fill="E8F4FD" w:val="clear"/>
        <w:spacing w:after="200"/>
        <w:ind w:left="120" w:right="120"/>
      </w:pPr>
      <w:r>
        <w:rPr>
          <w:rFonts w:ascii="Arial" w:cs="Arial" w:eastAsia="Arial" w:hAnsi="Arial"/>
          <w:i/>
          <w:iCs/>
          <w:color w:val="2D2D2D"/>
          <w:sz w:val="20"/>
          <w:szCs w:val="20"/>
        </w:rPr>
        <w:t xml:space="preserve">Engineering-led. Risk-gated. Observability designed in from Day 1. Each step classified by task type.</w:t>
      </w:r>
    </w:p>
    <w:p>
      <w:pPr>
        <w:pStyle w:val="Heading2"/>
        <w:spacing w:before="300" w:after="120"/>
      </w:pPr>
      <w:r>
        <w:rPr>
          <w:rFonts w:ascii="Arial" w:cs="Arial" w:eastAsia="Arial" w:hAnsi="Arial"/>
          <w:b/>
          <w:bCs/>
          <w:color w:val="2C5F8A"/>
          <w:sz w:val="28"/>
          <w:szCs w:val="28"/>
        </w:rPr>
        <w:t xml:space="preserve">11.1 Build Pathway Sub-Process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1200"/>
        <w:gridCol w:w="2400"/>
        <w:gridCol w:w="2260"/>
      </w:tblGrid>
      <w:tr>
        <w:tc>
          <w:tcPr>
            <w:tcW w:type="dxa" w:w="50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300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Activity</w:t>
            </w:r>
          </w:p>
        </w:tc>
        <w:tc>
          <w:tcPr>
            <w:tcW w:type="dxa" w:w="120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Task Type</w:t>
            </w:r>
          </w:p>
        </w:tc>
        <w:tc>
          <w:tcPr>
            <w:tcW w:type="dxa" w:w="240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Responsible Role</w:t>
            </w:r>
          </w:p>
        </w:tc>
        <w:tc>
          <w:tcPr>
            <w:tcW w:type="dxa" w:w="226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BPMN Element</w:t>
            </w:r>
          </w:p>
        </w:tc>
      </w:tr>
      <w:tr>
        <w:tc>
          <w:tcPr>
            <w:tcW w:type="dxa" w:w="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1</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Technology Plan Integration:</w:t>
            </w:r>
            <w:r>
              <w:rPr>
                <w:rFonts w:ascii="Arial" w:cs="Arial" w:eastAsia="Arial" w:hAnsi="Arial"/>
                <w:color w:val="2D2D2D"/>
                <w:sz w:val="20"/>
                <w:szCs w:val="20"/>
              </w:rPr>
              <w:t xml:space="preserve"> Integrate build into roadmap; assign to sprint; create Git branch from Epic ID; link stories with Git commits</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A / H</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Program Management</w:t>
            </w:r>
          </w:p>
        </w:tc>
        <w:tc>
          <w:tcPr>
            <w:tcW w:type="dxa" w:w="2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Service Task + User Task</w:t>
            </w:r>
          </w:p>
        </w:tc>
      </w:tr>
      <w:tr>
        <w:tc>
          <w:tcPr>
            <w:tcW w:type="dxa" w:w="5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2</w:t>
            </w:r>
          </w:p>
        </w:tc>
        <w:tc>
          <w:tcPr>
            <w:tcW w:type="dxa" w:w="30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Initial Risk Evaluation:</w:t>
            </w:r>
            <w:r>
              <w:rPr>
                <w:rFonts w:ascii="Arial" w:cs="Arial" w:eastAsia="Arial" w:hAnsi="Arial"/>
                <w:color w:val="2D2D2D"/>
                <w:sz w:val="20"/>
                <w:szCs w:val="20"/>
              </w:rPr>
              <w:t xml:space="preserve"> High-level review with risk partners; integration dependencies mapped in CMDB; InfoSec preliminary assessment; data flow diagram drafted</w:t>
            </w:r>
          </w:p>
        </w:tc>
        <w:tc>
          <w:tcPr>
            <w:tcW w:type="dxa" w:w="12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H / DA</w:t>
            </w:r>
          </w:p>
        </w:tc>
        <w:tc>
          <w:tcPr>
            <w:tcW w:type="dxa" w:w="24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Enterprise Architect, AI/Model Risk Governance</w:t>
            </w:r>
          </w:p>
        </w:tc>
        <w:tc>
          <w:tcPr>
            <w:tcW w:type="dxa" w:w="226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User Task</w:t>
            </w:r>
          </w:p>
        </w:tc>
      </w:tr>
      <w:tr>
        <w:tc>
          <w:tcPr>
            <w:tcW w:type="dxa" w:w="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3</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Initial Requirements Definition and Estimates:</w:t>
            </w:r>
            <w:r>
              <w:rPr>
                <w:rFonts w:ascii="Arial" w:cs="Arial" w:eastAsia="Arial" w:hAnsi="Arial"/>
                <w:color w:val="2D2D2D"/>
                <w:sz w:val="20"/>
                <w:szCs w:val="20"/>
              </w:rPr>
              <w:t xml:space="preserve"> Refine PRD; convert sizing to story points; identify technical dependencies; document Definition of Done</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H</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Product Owner, Engineering</w:t>
            </w:r>
          </w:p>
        </w:tc>
        <w:tc>
          <w:tcPr>
            <w:tcW w:type="dxa" w:w="2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User Task</w:t>
            </w:r>
          </w:p>
        </w:tc>
      </w:tr>
      <w:tr>
        <w:tc>
          <w:tcPr>
            <w:tcW w:type="dxa" w:w="5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4</w:t>
            </w:r>
          </w:p>
        </w:tc>
        <w:tc>
          <w:tcPr>
            <w:tcW w:type="dxa" w:w="30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High Level Design Document (HLDD):</w:t>
            </w:r>
            <w:r>
              <w:rPr>
                <w:rFonts w:ascii="Arial" w:cs="Arial" w:eastAsia="Arial" w:hAnsi="Arial"/>
                <w:color w:val="2D2D2D"/>
                <w:sz w:val="20"/>
                <w:szCs w:val="20"/>
              </w:rPr>
              <w:t xml:space="preserve"> System context diagram; data flow with classification overlays; API contracts; security controls; auth design; observability design</w:t>
            </w:r>
          </w:p>
        </w:tc>
        <w:tc>
          <w:tcPr>
            <w:tcW w:type="dxa" w:w="12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H</w:t>
            </w:r>
          </w:p>
        </w:tc>
        <w:tc>
          <w:tcPr>
            <w:tcW w:type="dxa" w:w="24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Enterprise Architect</w:t>
            </w:r>
          </w:p>
        </w:tc>
        <w:tc>
          <w:tcPr>
            <w:tcW w:type="dxa" w:w="226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User Task</w:t>
            </w:r>
          </w:p>
        </w:tc>
      </w:tr>
      <w:tr>
        <w:tc>
          <w:tcPr>
            <w:tcW w:type="dxa" w:w="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5</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Observability and Audit Telemetry Design:</w:t>
            </w:r>
            <w:r>
              <w:rPr>
                <w:rFonts w:ascii="Arial" w:cs="Arial" w:eastAsia="Arial" w:hAnsi="Arial"/>
                <w:color w:val="2D2D2D"/>
                <w:sz w:val="20"/>
                <w:szCs w:val="20"/>
              </w:rPr>
              <w:t xml:space="preserve"> Define structured event logging schema; specify audit trail fields; define drift monitoring metrics; specify data retention periods</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H / DA</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Enterprise Architect, AI/Model Risk Governance</w:t>
            </w:r>
          </w:p>
        </w:tc>
        <w:tc>
          <w:tcPr>
            <w:tcW w:type="dxa" w:w="2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User Task</w:t>
            </w:r>
          </w:p>
        </w:tc>
      </w:tr>
      <w:tr>
        <w:tc>
          <w:tcPr>
            <w:tcW w:type="dxa" w:w="5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6</w:t>
            </w:r>
          </w:p>
        </w:tc>
        <w:tc>
          <w:tcPr>
            <w:tcW w:type="dxa" w:w="30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Proof of Concept (PoC):</w:t>
            </w:r>
            <w:r>
              <w:rPr>
                <w:rFonts w:ascii="Arial" w:cs="Arial" w:eastAsia="Arial" w:hAnsi="Arial"/>
                <w:color w:val="2D2D2D"/>
                <w:sz w:val="20"/>
                <w:szCs w:val="20"/>
              </w:rPr>
              <w:t xml:space="preserve"> Standardized evaluation rubric; Architecture sign-off; CyberSec sign-off if data-sensitive. </w:t>
            </w:r>
            <w:r>
              <w:rPr>
                <w:rFonts w:ascii="Arial" w:cs="Arial" w:eastAsia="Arial" w:hAnsi="Arial"/>
                <w:b/>
                <w:bCs/>
                <w:color w:val="2D2D2D"/>
                <w:sz w:val="20"/>
                <w:szCs w:val="20"/>
              </w:rPr>
              <w:t xml:space="preserve">DMN-10 gate.</w:t>
            </w:r>
            <w:r>
              <w:rPr>
                <w:rFonts w:ascii="Arial" w:cs="Arial" w:eastAsia="Arial" w:hAnsi="Arial"/>
                <w:color w:val="2D2D2D"/>
                <w:sz w:val="20"/>
                <w:szCs w:val="20"/>
              </w:rPr>
              <w:t xml:space="preserve"/>
            </w:r>
          </w:p>
        </w:tc>
        <w:tc>
          <w:tcPr>
            <w:tcW w:type="dxa" w:w="12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H</w:t>
            </w:r>
          </w:p>
        </w:tc>
        <w:tc>
          <w:tcPr>
            <w:tcW w:type="dxa" w:w="24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Enterprise Architect, Cybersecurity Lead</w:t>
            </w:r>
          </w:p>
        </w:tc>
        <w:tc>
          <w:tcPr>
            <w:tcW w:type="dxa" w:w="226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User Task + Gateway</w:t>
            </w:r>
          </w:p>
        </w:tc>
      </w:tr>
      <w:tr>
        <w:tc>
          <w:tcPr>
            <w:tcW w:type="dxa" w:w="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7</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Requirement Refinement:</w:t>
            </w:r>
            <w:r>
              <w:rPr>
                <w:rFonts w:ascii="Arial" w:cs="Arial" w:eastAsia="Arial" w:hAnsi="Arial"/>
                <w:color w:val="2D2D2D"/>
                <w:sz w:val="20"/>
                <w:szCs w:val="20"/>
              </w:rPr>
              <w:t xml:space="preserve"> Update PRD and stories with PoC learnings; refine acceptance criteria; log new risks to register</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H</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Product Owner</w:t>
            </w:r>
          </w:p>
        </w:tc>
        <w:tc>
          <w:tcPr>
            <w:tcW w:type="dxa" w:w="2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User Task</w:t>
            </w:r>
          </w:p>
        </w:tc>
      </w:tr>
      <w:tr>
        <w:tc>
          <w:tcPr>
            <w:tcW w:type="dxa" w:w="5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8</w:t>
            </w:r>
          </w:p>
        </w:tc>
        <w:tc>
          <w:tcPr>
            <w:tcW w:type="dxa" w:w="30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Technology and Risk Evaluation Gate (DMN-11):</w:t>
            </w:r>
            <w:r>
              <w:rPr>
                <w:rFonts w:ascii="Arial" w:cs="Arial" w:eastAsia="Arial" w:hAnsi="Arial"/>
                <w:color w:val="2D2D2D"/>
                <w:sz w:val="20"/>
                <w:szCs w:val="20"/>
              </w:rPr>
              <w:t xml:space="preserve"> Multi-domain evaluation. AI Governance Checklist required for AI-enabled builds. </w:t>
            </w:r>
            <w:r>
              <w:rPr>
                <w:rFonts w:ascii="Arial" w:cs="Arial" w:eastAsia="Arial" w:hAnsi="Arial"/>
                <w:b/>
                <w:bCs/>
                <w:color w:val="2D2D2D"/>
                <w:sz w:val="20"/>
                <w:szCs w:val="20"/>
              </w:rPr>
              <w:t xml:space="preserve">Agent analysis supports but human decides.</w:t>
            </w:r>
            <w:r>
              <w:rPr>
                <w:rFonts w:ascii="Arial" w:cs="Arial" w:eastAsia="Arial" w:hAnsi="Arial"/>
                <w:color w:val="2D2D2D"/>
                <w:sz w:val="20"/>
                <w:szCs w:val="20"/>
              </w:rPr>
              <w:t xml:space="preserve"/>
            </w:r>
          </w:p>
        </w:tc>
        <w:tc>
          <w:tcPr>
            <w:tcW w:type="dxa" w:w="12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H / DA</w:t>
            </w:r>
          </w:p>
        </w:tc>
        <w:tc>
          <w:tcPr>
            <w:tcW w:type="dxa" w:w="24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Enterprise Architect, AI/Model Risk Governance, Compliance</w:t>
            </w:r>
          </w:p>
        </w:tc>
        <w:tc>
          <w:tcPr>
            <w:tcW w:type="dxa" w:w="226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Business Rules Task + User Task</w:t>
            </w:r>
          </w:p>
        </w:tc>
      </w:tr>
      <w:tr>
        <w:tc>
          <w:tcPr>
            <w:tcW w:type="dxa" w:w="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9</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User Acceptance Testing (UAT) / Pilot (DMN-12):</w:t>
            </w:r>
            <w:r>
              <w:rPr>
                <w:rFonts w:ascii="Arial" w:cs="Arial" w:eastAsia="Arial" w:hAnsi="Arial"/>
                <w:color w:val="2D2D2D"/>
                <w:sz w:val="20"/>
                <w:szCs w:val="20"/>
              </w:rPr>
              <w:t xml:space="preserve"> Structured UAT with representative users; metrics against acceptance criteria; edge case testing documented</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H</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Business Requestor, Product Owner</w:t>
            </w:r>
          </w:p>
        </w:tc>
        <w:tc>
          <w:tcPr>
            <w:tcW w:type="dxa" w:w="2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User Task + Gateway</w:t>
            </w:r>
          </w:p>
        </w:tc>
      </w:tr>
      <w:tr>
        <w:tc>
          <w:tcPr>
            <w:tcW w:type="dxa" w:w="5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10</w:t>
            </w:r>
          </w:p>
        </w:tc>
        <w:tc>
          <w:tcPr>
            <w:tcW w:type="dxa" w:w="30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Go-to-Market:</w:t>
            </w:r>
            <w:r>
              <w:rPr>
                <w:rFonts w:ascii="Arial" w:cs="Arial" w:eastAsia="Arial" w:hAnsi="Arial"/>
                <w:color w:val="2D2D2D"/>
                <w:sz w:val="20"/>
                <w:szCs w:val="20"/>
              </w:rPr>
              <w:t xml:space="preserve"> Release plan; operations runbook; observability dashboard activated; on-call escalation established; incident response plan linked</w:t>
            </w:r>
          </w:p>
        </w:tc>
        <w:tc>
          <w:tcPr>
            <w:tcW w:type="dxa" w:w="12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H / A</w:t>
            </w:r>
          </w:p>
        </w:tc>
        <w:tc>
          <w:tcPr>
            <w:tcW w:type="dxa" w:w="24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Product Owner, Program Management</w:t>
            </w:r>
          </w:p>
        </w:tc>
        <w:tc>
          <w:tcPr>
            <w:tcW w:type="dxa" w:w="226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User Task + Service Task</w:t>
            </w:r>
          </w:p>
        </w:tc>
      </w:tr>
    </w:tbl>
    <w:p>
      <w:pPr>
        <w:pStyle w:val="Heading2"/>
        <w:spacing w:before="300" w:after="120"/>
      </w:pPr>
      <w:r>
        <w:rPr>
          <w:rFonts w:ascii="Arial" w:cs="Arial" w:eastAsia="Arial" w:hAnsi="Arial"/>
          <w:b/>
          <w:bCs/>
          <w:color w:val="2C5F8A"/>
          <w:sz w:val="28"/>
          <w:szCs w:val="28"/>
        </w:rPr>
        <w:t xml:space="preserve">11.2 AI Governance Checklist (SR 11-7 / NIST AI RMF)</w:t>
      </w:r>
    </w:p>
    <w:p>
      <w:pPr>
        <w:spacing w:after="120"/>
      </w:pPr>
      <w:r>
        <w:rPr>
          <w:rFonts w:ascii="Arial" w:cs="Arial" w:eastAsia="Arial" w:hAnsi="Arial"/>
          <w:color w:val="2D2D2D"/>
          <w:sz w:val="22"/>
          <w:szCs w:val="22"/>
        </w:rPr>
        <w:t xml:space="preserve">Required for all Tier 1 and Tier 2 AI models prior to production deployment. All items are traceable to the AI Governance Knowledge Base. Task type: </w:t>
      </w:r>
      <w:r>
        <w:rPr>
          <w:rFonts w:ascii="Arial" w:cs="Arial" w:eastAsia="Arial" w:hAnsi="Arial"/>
          <w:b/>
          <w:bCs/>
          <w:color w:val="2D2D2D"/>
          <w:sz w:val="22"/>
          <w:szCs w:val="22"/>
        </w:rPr>
        <w:t xml:space="preserve">Human-in-the-Loop (H)</w:t>
      </w:r>
      <w:r>
        <w:rPr>
          <w:rFonts w:ascii="Arial" w:cs="Arial" w:eastAsia="Arial" w:hAnsi="Arial"/>
          <w:color w:val="2D2D2D"/>
          <w:sz w:val="22"/>
          <w:szCs w:val="22"/>
        </w:rPr>
        <w:t xml:space="preserve"> with </w:t>
      </w:r>
      <w:r>
        <w:rPr>
          <w:rFonts w:ascii="Arial" w:cs="Arial" w:eastAsia="Arial" w:hAnsi="Arial"/>
          <w:b/>
          <w:bCs/>
          <w:color w:val="2D2D2D"/>
          <w:sz w:val="22"/>
          <w:szCs w:val="22"/>
        </w:rPr>
        <w:t xml:space="preserve">Deterministic Agent-Enabled (DA)</w:t>
      </w:r>
      <w:r>
        <w:rPr>
          <w:rFonts w:ascii="Arial" w:cs="Arial" w:eastAsia="Arial" w:hAnsi="Arial"/>
          <w:color w:val="2D2D2D"/>
          <w:sz w:val="22"/>
          <w:szCs w:val="22"/>
        </w:rPr>
        <w:t xml:space="preserve"> pre-population from knowledge bases.</w:t>
      </w:r>
    </w:p>
    <w:p>
      <w:pPr>
        <w:pStyle w:val="ListParagraph"/>
        <w:numPr>
          <w:ilvl w:val="0"/>
          <w:numId w:val="2"/>
        </w:numPr>
        <w:spacing w:after="60"/>
      </w:pPr>
      <w:r>
        <w:rPr>
          <w:rFonts w:ascii="Arial" w:cs="Arial" w:eastAsia="Arial" w:hAnsi="Arial"/>
          <w:color w:val="2D2D2D"/>
          <w:sz w:val="22"/>
          <w:szCs w:val="22"/>
        </w:rPr>
        <w:t xml:space="preserve"/>
      </w:r>
      <w:r>
        <w:rPr>
          <w:rFonts w:ascii="Arial" w:cs="Arial" w:eastAsia="Arial" w:hAnsi="Arial"/>
          <w:b/>
          <w:bCs/>
          <w:color w:val="2D2D2D"/>
          <w:sz w:val="22"/>
          <w:szCs w:val="22"/>
        </w:rPr>
        <w:t xml:space="preserve">Model Card Completion:</w:t>
      </w:r>
      <w:r>
        <w:rPr>
          <w:rFonts w:ascii="Arial" w:cs="Arial" w:eastAsia="Arial" w:hAnsi="Arial"/>
          <w:color w:val="2D2D2D"/>
          <w:sz w:val="22"/>
          <w:szCs w:val="22"/>
        </w:rPr>
        <w:t xml:space="preserve"> Purpose; intended use cases; out-of-scope uses (explicitly documented); training data provenance; evaluation metrics; known limitations; bias assessment; recommended human oversight level.</w:t>
      </w:r>
    </w:p>
    <w:p>
      <w:pPr>
        <w:pStyle w:val="ListParagraph"/>
        <w:numPr>
          <w:ilvl w:val="0"/>
          <w:numId w:val="2"/>
        </w:numPr>
        <w:spacing w:after="60"/>
      </w:pPr>
      <w:r>
        <w:rPr>
          <w:rFonts w:ascii="Arial" w:cs="Arial" w:eastAsia="Arial" w:hAnsi="Arial"/>
          <w:color w:val="2D2D2D"/>
          <w:sz w:val="22"/>
          <w:szCs w:val="22"/>
        </w:rPr>
        <w:t xml:space="preserve"/>
      </w:r>
      <w:r>
        <w:rPr>
          <w:rFonts w:ascii="Arial" w:cs="Arial" w:eastAsia="Arial" w:hAnsi="Arial"/>
          <w:b/>
          <w:bCs/>
          <w:color w:val="2D2D2D"/>
          <w:sz w:val="22"/>
          <w:szCs w:val="22"/>
        </w:rPr>
        <w:t xml:space="preserve">Independent Validation (Tier 1 required; Tier 2 recommended):</w:t>
      </w:r>
      <w:r>
        <w:rPr>
          <w:rFonts w:ascii="Arial" w:cs="Arial" w:eastAsia="Arial" w:hAnsi="Arial"/>
          <w:color w:val="2D2D2D"/>
          <w:sz w:val="22"/>
          <w:szCs w:val="22"/>
        </w:rPr>
        <w:t xml:space="preserve"> Validation team independent from development; conceptual soundness evaluation; data quality assessment; benchmarking; sensitivity analysis; back-testing.</w:t>
      </w:r>
    </w:p>
    <w:p>
      <w:pPr>
        <w:pStyle w:val="ListParagraph"/>
        <w:numPr>
          <w:ilvl w:val="0"/>
          <w:numId w:val="2"/>
        </w:numPr>
        <w:spacing w:after="60"/>
      </w:pPr>
      <w:r>
        <w:rPr>
          <w:rFonts w:ascii="Arial" w:cs="Arial" w:eastAsia="Arial" w:hAnsi="Arial"/>
          <w:color w:val="2D2D2D"/>
          <w:sz w:val="22"/>
          <w:szCs w:val="22"/>
        </w:rPr>
        <w:t xml:space="preserve"/>
      </w:r>
      <w:r>
        <w:rPr>
          <w:rFonts w:ascii="Arial" w:cs="Arial" w:eastAsia="Arial" w:hAnsi="Arial"/>
          <w:b/>
          <w:bCs/>
          <w:color w:val="2D2D2D"/>
          <w:sz w:val="22"/>
          <w:szCs w:val="22"/>
        </w:rPr>
        <w:t xml:space="preserve">Explainability Provisions:</w:t>
      </w:r>
      <w:r>
        <w:rPr>
          <w:rFonts w:ascii="Arial" w:cs="Arial" w:eastAsia="Arial" w:hAnsi="Arial"/>
          <w:color w:val="2D2D2D"/>
          <w:sz w:val="22"/>
          <w:szCs w:val="22"/>
        </w:rPr>
        <w:t xml:space="preserve"> SHAP or LIME feature attribution for Tier 1 decisions with regulatory or consumer-facing implications; human-readable reason codes for FCRA/Regulation B decisions.</w:t>
      </w:r>
    </w:p>
    <w:p>
      <w:pPr>
        <w:pStyle w:val="ListParagraph"/>
        <w:numPr>
          <w:ilvl w:val="0"/>
          <w:numId w:val="2"/>
        </w:numPr>
        <w:spacing w:after="60"/>
      </w:pPr>
      <w:r>
        <w:rPr>
          <w:rFonts w:ascii="Arial" w:cs="Arial" w:eastAsia="Arial" w:hAnsi="Arial"/>
          <w:color w:val="2D2D2D"/>
          <w:sz w:val="22"/>
          <w:szCs w:val="22"/>
        </w:rPr>
        <w:t xml:space="preserve"/>
      </w:r>
      <w:r>
        <w:rPr>
          <w:rFonts w:ascii="Arial" w:cs="Arial" w:eastAsia="Arial" w:hAnsi="Arial"/>
          <w:b/>
          <w:bCs/>
          <w:color w:val="2D2D2D"/>
          <w:sz w:val="22"/>
          <w:szCs w:val="22"/>
        </w:rPr>
        <w:t xml:space="preserve">Bias and Fairness Testing:</w:t>
      </w:r>
      <w:r>
        <w:rPr>
          <w:rFonts w:ascii="Arial" w:cs="Arial" w:eastAsia="Arial" w:hAnsi="Arial"/>
          <w:color w:val="2D2D2D"/>
          <w:sz w:val="22"/>
          <w:szCs w:val="22"/>
        </w:rPr>
        <w:t xml:space="preserve"> Disparate impact analysis across protected-class-correlated cohorts; 80% rule applied; multiple fairness metrics; ongoing monitoring schedule.</w:t>
      </w:r>
    </w:p>
    <w:p>
      <w:pPr>
        <w:pStyle w:val="ListParagraph"/>
        <w:numPr>
          <w:ilvl w:val="0"/>
          <w:numId w:val="2"/>
        </w:numPr>
        <w:spacing w:after="60"/>
      </w:pPr>
      <w:r>
        <w:rPr>
          <w:rFonts w:ascii="Arial" w:cs="Arial" w:eastAsia="Arial" w:hAnsi="Arial"/>
          <w:color w:val="2D2D2D"/>
          <w:sz w:val="22"/>
          <w:szCs w:val="22"/>
        </w:rPr>
        <w:t xml:space="preserve"/>
      </w:r>
      <w:r>
        <w:rPr>
          <w:rFonts w:ascii="Arial" w:cs="Arial" w:eastAsia="Arial" w:hAnsi="Arial"/>
          <w:b/>
          <w:bCs/>
          <w:color w:val="2D2D2D"/>
          <w:sz w:val="22"/>
          <w:szCs w:val="22"/>
        </w:rPr>
        <w:t xml:space="preserve">Drift Monitoring Design:</w:t>
      </w:r>
      <w:r>
        <w:rPr>
          <w:rFonts w:ascii="Arial" w:cs="Arial" w:eastAsia="Arial" w:hAnsi="Arial"/>
          <w:color w:val="2D2D2D"/>
          <w:sz w:val="22"/>
          <w:szCs w:val="22"/>
        </w:rPr>
        <w:t xml:space="preserve"> Input distribution monitoring (KS, PSI); output distribution monitoring; concept drift detection; automated retraining triggers; manual review escalation.</w:t>
      </w:r>
    </w:p>
    <w:p>
      <w:pPr>
        <w:pStyle w:val="ListParagraph"/>
        <w:numPr>
          <w:ilvl w:val="0"/>
          <w:numId w:val="2"/>
        </w:numPr>
        <w:spacing w:after="60"/>
      </w:pPr>
      <w:r>
        <w:rPr>
          <w:rFonts w:ascii="Arial" w:cs="Arial" w:eastAsia="Arial" w:hAnsi="Arial"/>
          <w:color w:val="2D2D2D"/>
          <w:sz w:val="22"/>
          <w:szCs w:val="22"/>
        </w:rPr>
        <w:t xml:space="preserve"/>
      </w:r>
      <w:r>
        <w:rPr>
          <w:rFonts w:ascii="Arial" w:cs="Arial" w:eastAsia="Arial" w:hAnsi="Arial"/>
          <w:b/>
          <w:bCs/>
          <w:color w:val="2D2D2D"/>
          <w:sz w:val="22"/>
          <w:szCs w:val="22"/>
        </w:rPr>
        <w:t xml:space="preserve">Human-in-the-Loop Provisions:</w:t>
      </w:r>
      <w:r>
        <w:rPr>
          <w:rFonts w:ascii="Arial" w:cs="Arial" w:eastAsia="Arial" w:hAnsi="Arial"/>
          <w:color w:val="2D2D2D"/>
          <w:sz w:val="22"/>
          <w:szCs w:val="22"/>
        </w:rPr>
        <w:t xml:space="preserve"> Tier 1: all material decisions reviewed by qualified human before execution or within same business day. Tier 2: exception-based with defined escalation triggers.</w:t>
      </w:r>
    </w:p>
    <w:p>
      <w:pPr>
        <w:pStyle w:val="ListParagraph"/>
        <w:numPr>
          <w:ilvl w:val="0"/>
          <w:numId w:val="2"/>
        </w:numPr>
        <w:spacing w:after="60"/>
      </w:pPr>
      <w:r>
        <w:rPr>
          <w:rFonts w:ascii="Arial" w:cs="Arial" w:eastAsia="Arial" w:hAnsi="Arial"/>
          <w:color w:val="2D2D2D"/>
          <w:sz w:val="22"/>
          <w:szCs w:val="22"/>
        </w:rPr>
        <w:t xml:space="preserve"/>
      </w:r>
      <w:r>
        <w:rPr>
          <w:rFonts w:ascii="Arial" w:cs="Arial" w:eastAsia="Arial" w:hAnsi="Arial"/>
          <w:b/>
          <w:bCs/>
          <w:color w:val="2D2D2D"/>
          <w:sz w:val="22"/>
          <w:szCs w:val="22"/>
        </w:rPr>
        <w:t xml:space="preserve">Model Risk Inventory Entry:</w:t>
      </w:r>
      <w:r>
        <w:rPr>
          <w:rFonts w:ascii="Arial" w:cs="Arial" w:eastAsia="Arial" w:hAnsi="Arial"/>
          <w:color w:val="2D2D2D"/>
          <w:sz w:val="22"/>
          <w:szCs w:val="22"/>
        </w:rPr>
        <w:t xml:space="preserve"> All Tier 1 and Tier 2 models entered with owner role, validation date, next review date, regulatory classification, deployment date, and observability dashboard link.</w:t>
      </w:r>
    </w:p>
    <w:p>
      <w:pPr>
        <w:pStyle w:val="ListParagraph"/>
        <w:numPr>
          <w:ilvl w:val="0"/>
          <w:numId w:val="2"/>
        </w:numPr>
        <w:spacing w:after="60"/>
      </w:pPr>
      <w:r>
        <w:rPr>
          <w:rFonts w:ascii="Arial" w:cs="Arial" w:eastAsia="Arial" w:hAnsi="Arial"/>
          <w:color w:val="2D2D2D"/>
          <w:sz w:val="22"/>
          <w:szCs w:val="22"/>
        </w:rPr>
        <w:t xml:space="preserve"/>
      </w:r>
      <w:r>
        <w:rPr>
          <w:rFonts w:ascii="Arial" w:cs="Arial" w:eastAsia="Arial" w:hAnsi="Arial"/>
          <w:b/>
          <w:bCs/>
          <w:color w:val="2D2D2D"/>
          <w:sz w:val="22"/>
          <w:szCs w:val="22"/>
        </w:rPr>
        <w:t xml:space="preserve">Executive Sponsor Sign-off (Tier 1 required):</w:t>
      </w:r>
      <w:r>
        <w:rPr>
          <w:rFonts w:ascii="Arial" w:cs="Arial" w:eastAsia="Arial" w:hAnsi="Arial"/>
          <w:color w:val="2D2D2D"/>
          <w:sz w:val="22"/>
          <w:szCs w:val="22"/>
        </w:rPr>
        <w:t xml:space="preserve"> Senior executive sponsor sign-off logged in audit trail.</w:t>
      </w:r>
    </w:p>
    <w:p>
      <w:pPr>
        <w:pStyle w:val="ListParagraph"/>
        <w:numPr>
          <w:ilvl w:val="0"/>
          <w:numId w:val="2"/>
        </w:numPr>
        <w:spacing w:after="60"/>
      </w:pPr>
      <w:r>
        <w:rPr>
          <w:rFonts w:ascii="Arial" w:cs="Arial" w:eastAsia="Arial" w:hAnsi="Arial"/>
          <w:color w:val="2D2D2D"/>
          <w:sz w:val="22"/>
          <w:szCs w:val="22"/>
        </w:rPr>
        <w:t xml:space="preserve"/>
      </w:r>
      <w:r>
        <w:rPr>
          <w:rFonts w:ascii="Arial" w:cs="Arial" w:eastAsia="Arial" w:hAnsi="Arial"/>
          <w:b/>
          <w:bCs/>
          <w:color w:val="2D2D2D"/>
          <w:sz w:val="22"/>
          <w:szCs w:val="22"/>
        </w:rPr>
        <w:t xml:space="preserve">Third-Party AI Model Obligations (Buy pathway):</w:t>
      </w:r>
      <w:r>
        <w:rPr>
          <w:rFonts w:ascii="Arial" w:cs="Arial" w:eastAsia="Arial" w:hAnsi="Arial"/>
          <w:color w:val="2D2D2D"/>
          <w:sz w:val="22"/>
          <w:szCs w:val="22"/>
        </w:rPr>
        <w:t xml:space="preserve"> Vendor must provide equivalent Model Card; SR 11-7 compliance attestation; validation evidence; bias testing results; 30-day advance notice for material model changes.</w:t>
      </w:r>
    </w:p>
    <w:p>
      <w:pPr>
        <w:pStyle w:val="Heading2"/>
        <w:spacing w:before="300" w:after="120"/>
      </w:pPr>
      <w:r>
        <w:rPr>
          <w:rFonts w:ascii="Arial" w:cs="Arial" w:eastAsia="Arial" w:hAnsi="Arial"/>
          <w:b/>
          <w:bCs/>
          <w:color w:val="2C5F8A"/>
          <w:sz w:val="28"/>
          <w:szCs w:val="28"/>
        </w:rPr>
        <w:t xml:space="preserve">11.3 DMN-11: Technology and Risk Evaluation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200"/>
        <w:gridCol w:w="1100"/>
        <w:gridCol w:w="1200"/>
        <w:gridCol w:w="1100"/>
        <w:gridCol w:w="1100"/>
        <w:gridCol w:w="1200"/>
        <w:gridCol w:w="1960"/>
      </w:tblGrid>
      <w:tr>
        <w:tc>
          <w:tcPr>
            <w:tcW w:type="dxa" w:w="50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120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Completeness</w:t>
            </w:r>
          </w:p>
        </w:tc>
        <w:tc>
          <w:tcPr>
            <w:tcW w:type="dxa" w:w="110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AI Gov?</w:t>
            </w:r>
          </w:p>
        </w:tc>
        <w:tc>
          <w:tcPr>
            <w:tcW w:type="dxa" w:w="120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Arch Sign-off?</w:t>
            </w:r>
          </w:p>
        </w:tc>
        <w:tc>
          <w:tcPr>
            <w:tcW w:type="dxa" w:w="110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CyberSec?</w:t>
            </w:r>
          </w:p>
        </w:tc>
        <w:tc>
          <w:tcPr>
            <w:tcW w:type="dxa" w:w="110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Compliance?</w:t>
            </w:r>
          </w:p>
        </w:tc>
        <w:tc>
          <w:tcPr>
            <w:tcW w:type="dxa" w:w="120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Decision</w:t>
            </w:r>
          </w:p>
        </w:tc>
        <w:tc>
          <w:tcPr>
            <w:tcW w:type="dxa" w:w="196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r>
      <w:tr>
        <w:tc>
          <w:tcPr>
            <w:tcW w:type="dxa" w:w="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1</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PASS</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YES / N/A</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YES</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YES</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YES</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PROCEED—UAT</w:t>
            </w:r>
            <w:r>
              <w:rPr>
                <w:rFonts w:ascii="Arial" w:cs="Arial" w:eastAsia="Arial" w:hAnsi="Arial"/>
                <w:color w:val="2D2D2D"/>
                <w:sz w:val="20"/>
                <w:szCs w:val="20"/>
              </w:rPr>
              <w:t xml:space="preserve"/>
            </w:r>
          </w:p>
        </w:tc>
        <w:tc>
          <w:tcPr>
            <w:tcW w:type="dxa" w:w="1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UAT plan activated; stakeholder invitations issued</w:t>
            </w:r>
          </w:p>
        </w:tc>
      </w:tr>
      <w:tr>
        <w:tc>
          <w:tcPr>
            <w:tcW w:type="dxa" w:w="5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2</w:t>
            </w:r>
          </w:p>
        </w:tc>
        <w:tc>
          <w:tcPr>
            <w:tcW w:type="dxa" w:w="12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PASS</w:t>
            </w:r>
          </w:p>
        </w:tc>
        <w:tc>
          <w:tcPr>
            <w:tcW w:type="dxa" w:w="11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NO</w:t>
            </w:r>
          </w:p>
        </w:tc>
        <w:tc>
          <w:tcPr>
            <w:tcW w:type="dxa" w:w="12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w:t>
            </w:r>
          </w:p>
        </w:tc>
        <w:tc>
          <w:tcPr>
            <w:tcW w:type="dxa" w:w="11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w:t>
            </w:r>
          </w:p>
        </w:tc>
        <w:tc>
          <w:tcPr>
            <w:tcW w:type="dxa" w:w="11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w:t>
            </w:r>
          </w:p>
        </w:tc>
        <w:tc>
          <w:tcPr>
            <w:tcW w:type="dxa" w:w="12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HOLD—AI Gov</w:t>
            </w:r>
            <w:r>
              <w:rPr>
                <w:rFonts w:ascii="Arial" w:cs="Arial" w:eastAsia="Arial" w:hAnsi="Arial"/>
                <w:color w:val="2D2D2D"/>
                <w:sz w:val="20"/>
                <w:szCs w:val="20"/>
              </w:rPr>
              <w:t xml:space="preserve"/>
            </w:r>
          </w:p>
        </w:tc>
        <w:tc>
          <w:tcPr>
            <w:tcW w:type="dxa" w:w="196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Checklist items identified; remediation within 10 days</w:t>
            </w:r>
          </w:p>
        </w:tc>
      </w:tr>
      <w:tr>
        <w:tc>
          <w:tcPr>
            <w:tcW w:type="dxa" w:w="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3</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PASS</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YES / N/A</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NO</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HOLD—Security</w:t>
            </w:r>
            <w:r>
              <w:rPr>
                <w:rFonts w:ascii="Arial" w:cs="Arial" w:eastAsia="Arial" w:hAnsi="Arial"/>
                <w:color w:val="2D2D2D"/>
                <w:sz w:val="20"/>
                <w:szCs w:val="20"/>
              </w:rPr>
              <w:t xml:space="preserve"/>
            </w:r>
          </w:p>
        </w:tc>
        <w:tc>
          <w:tcPr>
            <w:tcW w:type="dxa" w:w="1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CyberSec findings remediated; re-assessment scheduled</w:t>
            </w:r>
          </w:p>
        </w:tc>
      </w:tr>
      <w:tr>
        <w:tc>
          <w:tcPr>
            <w:tcW w:type="dxa" w:w="5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4</w:t>
            </w:r>
          </w:p>
        </w:tc>
        <w:tc>
          <w:tcPr>
            <w:tcW w:type="dxa" w:w="12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PASS</w:t>
            </w:r>
          </w:p>
        </w:tc>
        <w:tc>
          <w:tcPr>
            <w:tcW w:type="dxa" w:w="11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YES / N/A</w:t>
            </w:r>
          </w:p>
        </w:tc>
        <w:tc>
          <w:tcPr>
            <w:tcW w:type="dxa" w:w="12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YES</w:t>
            </w:r>
          </w:p>
        </w:tc>
        <w:tc>
          <w:tcPr>
            <w:tcW w:type="dxa" w:w="11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YES</w:t>
            </w:r>
          </w:p>
        </w:tc>
        <w:tc>
          <w:tcPr>
            <w:tcW w:type="dxa" w:w="11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NO</w:t>
            </w:r>
          </w:p>
        </w:tc>
        <w:tc>
          <w:tcPr>
            <w:tcW w:type="dxa" w:w="12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HOLD—Compliance</w:t>
            </w:r>
            <w:r>
              <w:rPr>
                <w:rFonts w:ascii="Arial" w:cs="Arial" w:eastAsia="Arial" w:hAnsi="Arial"/>
                <w:color w:val="2D2D2D"/>
                <w:sz w:val="20"/>
                <w:szCs w:val="20"/>
              </w:rPr>
              <w:t xml:space="preserve"/>
            </w:r>
          </w:p>
        </w:tc>
        <w:tc>
          <w:tcPr>
            <w:tcW w:type="dxa" w:w="196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Compliance Governance engaged; resolution before UAT</w:t>
            </w:r>
          </w:p>
        </w:tc>
      </w:tr>
      <w:tr>
        <w:tc>
          <w:tcPr>
            <w:tcW w:type="dxa" w:w="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5</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FAIL</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RETURN</w:t>
            </w:r>
            <w:r>
              <w:rPr>
                <w:rFonts w:ascii="Arial" w:cs="Arial" w:eastAsia="Arial" w:hAnsi="Arial"/>
                <w:color w:val="2D2D2D"/>
                <w:sz w:val="20"/>
                <w:szCs w:val="20"/>
              </w:rPr>
              <w:t xml:space="preserve"/>
            </w:r>
          </w:p>
        </w:tc>
        <w:tc>
          <w:tcPr>
            <w:tcW w:type="dxa" w:w="1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Gaps identified; Product Owner notified; return to refinement</w:t>
            </w:r>
          </w:p>
        </w:tc>
      </w:tr>
    </w:tbl>
    <w:p>
      <w:r>
        <w:br w:type="page"/>
      </w:r>
    </w:p>
    <w:p>
      <w:pPr>
        <w:pStyle w:val="Heading1"/>
      </w:pPr>
      <w:r>
        <w:rPr>
          <w:rFonts w:ascii="Arial" w:cs="Arial" w:eastAsia="Arial" w:hAnsi="Arial"/>
          <w:b/>
          <w:bCs/>
          <w:color w:val="1B3A5C"/>
          <w:sz w:val="36"/>
          <w:szCs w:val="36"/>
        </w:rPr>
        <w:t xml:space="preserve">12. Phase 5B: Full TPRM-Integrated Procurement (Buy Pathway)</w:t>
      </w:r>
    </w:p>
    <w:p>
      <w:pPr>
        <w:pBdr>
          <w:bottom w:val="single" w:color="1B3A5C" w:sz="6"/>
        </w:pBdr>
        <w:spacing w:before="300"/>
      </w:pPr>
    </w:p>
    <w:p>
      <w:pPr>
        <w:shd w:fill="1B3A5C" w:val="clear"/>
        <w:spacing w:before="120" w:after="60"/>
        <w:ind w:left="120" w:right="120"/>
      </w:pPr>
      <w:r>
        <w:rPr>
          <w:rFonts w:ascii="Arial" w:cs="Arial" w:eastAsia="Arial" w:hAnsi="Arial"/>
          <w:b/>
          <w:bCs/>
          <w:color w:val="FFFFFF"/>
          <w:sz w:val="24"/>
          <w:szCs w:val="24"/>
        </w:rPr>
        <w:t xml:space="preserve">P5B  </w:t>
      </w:r>
      <w:r>
        <w:rPr>
          <w:rFonts w:ascii="Arial" w:cs="Arial" w:eastAsia="Arial" w:hAnsi="Arial"/>
          <w:b/>
          <w:bCs/>
          <w:color w:val="FFFFFF"/>
          <w:sz w:val="24"/>
          <w:szCs w:val="24"/>
        </w:rPr>
        <w:t xml:space="preserve">TPRM-Integrated Procurement</w:t>
      </w:r>
    </w:p>
    <w:p>
      <w:pPr>
        <w:shd w:fill="E8F4FD" w:val="clear"/>
        <w:spacing w:after="200"/>
        <w:ind w:left="120" w:right="120"/>
      </w:pPr>
      <w:r>
        <w:rPr>
          <w:rFonts w:ascii="Arial" w:cs="Arial" w:eastAsia="Arial" w:hAnsi="Arial"/>
          <w:i/>
          <w:iCs/>
          <w:color w:val="2D2D2D"/>
          <w:sz w:val="20"/>
          <w:szCs w:val="20"/>
        </w:rPr>
        <w:t xml:space="preserve">Six-stage TPRM lifecycle per OCC 2023-17. Proportionate to vendor risk tier. Legal KG-driven contracts. Each step classified by task type.</w:t>
      </w:r>
    </w:p>
    <w:p>
      <w:pPr>
        <w:pStyle w:val="Heading2"/>
        <w:spacing w:before="300" w:after="120"/>
      </w:pPr>
      <w:r>
        <w:rPr>
          <w:rFonts w:ascii="Arial" w:cs="Arial" w:eastAsia="Arial" w:hAnsi="Arial"/>
          <w:b/>
          <w:bCs/>
          <w:color w:val="2C5F8A"/>
          <w:sz w:val="28"/>
          <w:szCs w:val="28"/>
        </w:rPr>
        <w:t xml:space="preserve">12.1 Stage 1: Vendor Risk Tiering (DMN-06)</w:t>
      </w:r>
    </w:p>
    <w:p>
      <w:pPr>
        <w:spacing w:after="120"/>
      </w:pPr>
      <w:r>
        <w:rPr>
          <w:rFonts w:ascii="Arial" w:cs="Arial" w:eastAsia="Arial" w:hAnsi="Arial"/>
          <w:color w:val="2D2D2D"/>
          <w:sz w:val="22"/>
          <w:szCs w:val="22"/>
        </w:rPr>
        <w:t xml:space="preserve">Task type: </w:t>
      </w:r>
      <w:r>
        <w:rPr>
          <w:rFonts w:ascii="Arial" w:cs="Arial" w:eastAsia="Arial" w:hAnsi="Arial"/>
          <w:b/>
          <w:bCs/>
          <w:color w:val="2D2D2D"/>
          <w:sz w:val="22"/>
          <w:szCs w:val="22"/>
        </w:rPr>
        <w:t xml:space="preserve">Automated (A)</w:t>
      </w:r>
      <w:r>
        <w:rPr>
          <w:rFonts w:ascii="Arial" w:cs="Arial" w:eastAsia="Arial" w:hAnsi="Arial"/>
          <w:color w:val="2D2D2D"/>
          <w:sz w:val="22"/>
          <w:szCs w:val="22"/>
        </w:rPr>
        <w:t xml:space="preserve"> for initial tiering; </w:t>
      </w:r>
      <w:r>
        <w:rPr>
          <w:rFonts w:ascii="Arial" w:cs="Arial" w:eastAsia="Arial" w:hAnsi="Arial"/>
          <w:b/>
          <w:bCs/>
          <w:color w:val="2D2D2D"/>
          <w:sz w:val="22"/>
          <w:szCs w:val="22"/>
        </w:rPr>
        <w:t xml:space="preserve">Human-in-the-Loop (H)</w:t>
      </w:r>
      <w:r>
        <w:rPr>
          <w:rFonts w:ascii="Arial" w:cs="Arial" w:eastAsia="Arial" w:hAnsi="Arial"/>
          <w:color w:val="2D2D2D"/>
          <w:sz w:val="22"/>
          <w:szCs w:val="22"/>
        </w:rPr>
        <w:t xml:space="preserve"> for override. Hit policy: PRIORITY (P).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000"/>
        <w:gridCol w:w="1200"/>
        <w:gridCol w:w="1200"/>
        <w:gridCol w:w="1000"/>
        <w:gridCol w:w="1000"/>
        <w:gridCol w:w="1160"/>
        <w:gridCol w:w="2300"/>
      </w:tblGrid>
      <w:tr>
        <w:tc>
          <w:tcPr>
            <w:tcW w:type="dxa" w:w="50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100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Critical Activity?</w:t>
            </w:r>
          </w:p>
        </w:tc>
        <w:tc>
          <w:tcPr>
            <w:tcW w:type="dxa" w:w="120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Data Sensitivity</w:t>
            </w:r>
          </w:p>
        </w:tc>
        <w:tc>
          <w:tcPr>
            <w:tcW w:type="dxa" w:w="120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Concentration</w:t>
            </w:r>
          </w:p>
        </w:tc>
        <w:tc>
          <w:tcPr>
            <w:tcW w:type="dxa" w:w="100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Financial</w:t>
            </w:r>
          </w:p>
        </w:tc>
        <w:tc>
          <w:tcPr>
            <w:tcW w:type="dxa" w:w="100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Reg. Exposure</w:t>
            </w:r>
          </w:p>
        </w:tc>
        <w:tc>
          <w:tcPr>
            <w:tcW w:type="dxa" w:w="116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230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TPRM Intensity</w:t>
            </w:r>
          </w:p>
        </w:tc>
      </w:tr>
      <w:tr>
        <w:tc>
          <w:tcPr>
            <w:tcW w:type="dxa" w:w="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1</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YES</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High (PII/NPI)</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HIGH</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Any</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High</w:t>
            </w:r>
          </w:p>
        </w:tc>
        <w:tc>
          <w:tcPr>
            <w:tcW w:type="dxa" w:w="1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Tier 1—Critical</w:t>
            </w:r>
            <w:r>
              <w:rPr>
                <w:rFonts w:ascii="Arial" w:cs="Arial" w:eastAsia="Arial" w:hAnsi="Arial"/>
                <w:color w:val="2D2D2D"/>
                <w:sz w:val="20"/>
                <w:szCs w:val="20"/>
              </w:rPr>
              <w:t xml:space="preserve"/>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Full lifecycle; exec sponsor approval; quarterly monitoring; onsite audit</w:t>
            </w:r>
          </w:p>
        </w:tc>
      </w:tr>
      <w:tr>
        <w:tc>
          <w:tcPr>
            <w:tcW w:type="dxa" w:w="5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2</w:t>
            </w:r>
          </w:p>
        </w:tc>
        <w:tc>
          <w:tcPr>
            <w:tcW w:type="dxa" w:w="10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YES</w:t>
            </w:r>
          </w:p>
        </w:tc>
        <w:tc>
          <w:tcPr>
            <w:tcW w:type="dxa" w:w="12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High</w:t>
            </w:r>
          </w:p>
        </w:tc>
        <w:tc>
          <w:tcPr>
            <w:tcW w:type="dxa" w:w="12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Medium</w:t>
            </w:r>
          </w:p>
        </w:tc>
        <w:tc>
          <w:tcPr>
            <w:tcW w:type="dxa" w:w="10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Stable</w:t>
            </w:r>
          </w:p>
        </w:tc>
        <w:tc>
          <w:tcPr>
            <w:tcW w:type="dxa" w:w="10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Medium</w:t>
            </w:r>
          </w:p>
        </w:tc>
        <w:tc>
          <w:tcPr>
            <w:tcW w:type="dxa" w:w="116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Tier 1—Critical</w:t>
            </w:r>
            <w:r>
              <w:rPr>
                <w:rFonts w:ascii="Arial" w:cs="Arial" w:eastAsia="Arial" w:hAnsi="Arial"/>
                <w:color w:val="2D2D2D"/>
                <w:sz w:val="20"/>
                <w:szCs w:val="20"/>
              </w:rPr>
              <w:t xml:space="preserve"/>
            </w:r>
          </w:p>
        </w:tc>
        <w:tc>
          <w:tcPr>
            <w:tcW w:type="dxa" w:w="23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Full lifecycle; exec sponsor approval; semi-annual monitoring</w:t>
            </w:r>
          </w:p>
        </w:tc>
      </w:tr>
      <w:tr>
        <w:tc>
          <w:tcPr>
            <w:tcW w:type="dxa" w:w="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3</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NO</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High (PII)</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Low</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Stable</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Medium</w:t>
            </w:r>
          </w:p>
        </w:tc>
        <w:tc>
          <w:tcPr>
            <w:tcW w:type="dxa" w:w="1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Tier 2—Elevated</w:t>
            </w:r>
            <w:r>
              <w:rPr>
                <w:rFonts w:ascii="Arial" w:cs="Arial" w:eastAsia="Arial" w:hAnsi="Arial"/>
                <w:color w:val="2D2D2D"/>
                <w:sz w:val="20"/>
                <w:szCs w:val="20"/>
              </w:rPr>
              <w:t xml:space="preserve"/>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Enhanced DD; annual monitoring; SOC 2 Type II required</w:t>
            </w:r>
          </w:p>
        </w:tc>
      </w:tr>
      <w:tr>
        <w:tc>
          <w:tcPr>
            <w:tcW w:type="dxa" w:w="5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4</w:t>
            </w:r>
          </w:p>
        </w:tc>
        <w:tc>
          <w:tcPr>
            <w:tcW w:type="dxa" w:w="10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NO</w:t>
            </w:r>
          </w:p>
        </w:tc>
        <w:tc>
          <w:tcPr>
            <w:tcW w:type="dxa" w:w="12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Moderate</w:t>
            </w:r>
          </w:p>
        </w:tc>
        <w:tc>
          <w:tcPr>
            <w:tcW w:type="dxa" w:w="12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Low</w:t>
            </w:r>
          </w:p>
        </w:tc>
        <w:tc>
          <w:tcPr>
            <w:tcW w:type="dxa" w:w="10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Stable</w:t>
            </w:r>
          </w:p>
        </w:tc>
        <w:tc>
          <w:tcPr>
            <w:tcW w:type="dxa" w:w="10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Low</w:t>
            </w:r>
          </w:p>
        </w:tc>
        <w:tc>
          <w:tcPr>
            <w:tcW w:type="dxa" w:w="116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Tier 3—Standard</w:t>
            </w:r>
            <w:r>
              <w:rPr>
                <w:rFonts w:ascii="Arial" w:cs="Arial" w:eastAsia="Arial" w:hAnsi="Arial"/>
                <w:color w:val="2D2D2D"/>
                <w:sz w:val="20"/>
                <w:szCs w:val="20"/>
              </w:rPr>
              <w:t xml:space="preserve"/>
            </w:r>
          </w:p>
        </w:tc>
        <w:tc>
          <w:tcPr>
            <w:tcW w:type="dxa" w:w="23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Standard DD; annual review; SOC 2 Type II or equivalent</w:t>
            </w:r>
          </w:p>
        </w:tc>
      </w:tr>
      <w:tr>
        <w:tc>
          <w:tcPr>
            <w:tcW w:type="dxa" w:w="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5</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NO</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Low / Public</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None</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Stable</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None</w:t>
            </w:r>
          </w:p>
        </w:tc>
        <w:tc>
          <w:tcPr>
            <w:tcW w:type="dxa" w:w="1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Tier 4—Low</w:t>
            </w:r>
            <w:r>
              <w:rPr>
                <w:rFonts w:ascii="Arial" w:cs="Arial" w:eastAsia="Arial" w:hAnsi="Arial"/>
                <w:color w:val="2D2D2D"/>
                <w:sz w:val="20"/>
                <w:szCs w:val="20"/>
              </w:rPr>
              <w:t xml:space="preserve"/>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Abbreviated DD; biennial review; attestation-based</w:t>
            </w:r>
          </w:p>
        </w:tc>
      </w:tr>
    </w:tbl>
    <w:p>
      <w:pPr>
        <w:pStyle w:val="Heading2"/>
        <w:spacing w:before="300" w:after="120"/>
      </w:pPr>
      <w:r>
        <w:rPr>
          <w:rFonts w:ascii="Arial" w:cs="Arial" w:eastAsia="Arial" w:hAnsi="Arial"/>
          <w:b/>
          <w:bCs/>
          <w:color w:val="2C5F8A"/>
          <w:sz w:val="28"/>
          <w:szCs w:val="28"/>
        </w:rPr>
        <w:t xml:space="preserve">12.2 Stage 2: Planning, Pre-Engagement, and Due Diligence</w:t>
      </w:r>
    </w:p>
    <w:p>
      <w:pPr>
        <w:spacing w:after="120"/>
      </w:pPr>
      <w:r>
        <w:rPr>
          <w:rFonts w:ascii="Arial" w:cs="Arial" w:eastAsia="Arial" w:hAnsi="Arial"/>
          <w:color w:val="2D2D2D"/>
          <w:sz w:val="22"/>
          <w:szCs w:val="22"/>
        </w:rPr>
        <w:t xml:space="preserve">Task type: </w:t>
      </w:r>
      <w:r>
        <w:rPr>
          <w:rFonts w:ascii="Arial" w:cs="Arial" w:eastAsia="Arial" w:hAnsi="Arial"/>
          <w:b/>
          <w:bCs/>
          <w:color w:val="2D2D2D"/>
          <w:sz w:val="22"/>
          <w:szCs w:val="22"/>
        </w:rPr>
        <w:t xml:space="preserve">Human-in-the-Loop (H)</w:t>
      </w:r>
      <w:r>
        <w:rPr>
          <w:rFonts w:ascii="Arial" w:cs="Arial" w:eastAsia="Arial" w:hAnsi="Arial"/>
          <w:color w:val="2D2D2D"/>
          <w:sz w:val="22"/>
          <w:szCs w:val="22"/>
        </w:rPr>
        <w:t xml:space="preserve"> with </w:t>
      </w:r>
      <w:r>
        <w:rPr>
          <w:rFonts w:ascii="Arial" w:cs="Arial" w:eastAsia="Arial" w:hAnsi="Arial"/>
          <w:b/>
          <w:bCs/>
          <w:color w:val="2D2D2D"/>
          <w:sz w:val="22"/>
          <w:szCs w:val="22"/>
        </w:rPr>
        <w:t xml:space="preserve">Deterministic Agent-Enabled (DA)</w:t>
      </w:r>
      <w:r>
        <w:rPr>
          <w:rFonts w:ascii="Arial" w:cs="Arial" w:eastAsia="Arial" w:hAnsi="Arial"/>
          <w:color w:val="2D2D2D"/>
          <w:sz w:val="22"/>
          <w:szCs w:val="22"/>
        </w:rPr>
        <w:t xml:space="preserve"> support for due diligence analysis.</w:t>
      </w:r>
    </w:p>
    <w:p>
      <w:pPr>
        <w:pStyle w:val="ListParagraph"/>
        <w:numPr>
          <w:ilvl w:val="0"/>
          <w:numId w:val="2"/>
        </w:numPr>
        <w:spacing w:after="60"/>
      </w:pPr>
      <w:r>
        <w:rPr>
          <w:rFonts w:ascii="Arial" w:cs="Arial" w:eastAsia="Arial" w:hAnsi="Arial"/>
          <w:color w:val="2D2D2D"/>
          <w:sz w:val="22"/>
          <w:szCs w:val="22"/>
        </w:rPr>
        <w:t xml:space="preserve"/>
      </w:r>
      <w:r>
        <w:rPr>
          <w:rFonts w:ascii="Arial" w:cs="Arial" w:eastAsia="Arial" w:hAnsi="Arial"/>
          <w:b/>
          <w:bCs/>
          <w:color w:val="2D2D2D"/>
          <w:sz w:val="22"/>
          <w:szCs w:val="22"/>
        </w:rPr>
        <w:t xml:space="preserve">Sourcing strategy determination:</w:t>
      </w:r>
      <w:r>
        <w:rPr>
          <w:rFonts w:ascii="Arial" w:cs="Arial" w:eastAsia="Arial" w:hAnsi="Arial"/>
          <w:color w:val="2D2D2D"/>
          <w:sz w:val="22"/>
          <w:szCs w:val="22"/>
        </w:rPr>
        <w:t xml:space="preserve"> Procurement Lead evaluates sole-source, RFI, RFP, reverse auction, or direct negotiation based on market landscape and vendor risk tier.</w:t>
      </w:r>
    </w:p>
    <w:p>
      <w:pPr>
        <w:pStyle w:val="ListParagraph"/>
        <w:numPr>
          <w:ilvl w:val="0"/>
          <w:numId w:val="2"/>
        </w:numPr>
        <w:spacing w:after="60"/>
      </w:pPr>
      <w:r>
        <w:rPr>
          <w:rFonts w:ascii="Arial" w:cs="Arial" w:eastAsia="Arial" w:hAnsi="Arial"/>
          <w:color w:val="2D2D2D"/>
          <w:sz w:val="22"/>
          <w:szCs w:val="22"/>
        </w:rPr>
        <w:t xml:space="preserve"/>
      </w:r>
      <w:r>
        <w:rPr>
          <w:rFonts w:ascii="Arial" w:cs="Arial" w:eastAsia="Arial" w:hAnsi="Arial"/>
          <w:b/>
          <w:bCs/>
          <w:color w:val="2D2D2D"/>
          <w:sz w:val="22"/>
          <w:szCs w:val="22"/>
        </w:rPr>
        <w:t xml:space="preserve">Discovery funding authorization:</w:t>
      </w:r>
      <w:r>
        <w:rPr>
          <w:rFonts w:ascii="Arial" w:cs="Arial" w:eastAsia="Arial" w:hAnsi="Arial"/>
          <w:color w:val="2D2D2D"/>
          <w:sz w:val="22"/>
          <w:szCs w:val="22"/>
        </w:rPr>
        <w:t xml:space="preserve"> Where significant pre-engagement analysis is required, Finance Controller approves a discrete discovery budget.</w:t>
      </w:r>
    </w:p>
    <w:p>
      <w:pPr>
        <w:pStyle w:val="ListParagraph"/>
        <w:numPr>
          <w:ilvl w:val="0"/>
          <w:numId w:val="2"/>
        </w:numPr>
        <w:spacing w:after="60"/>
      </w:pPr>
      <w:r>
        <w:rPr>
          <w:rFonts w:ascii="Arial" w:cs="Arial" w:eastAsia="Arial" w:hAnsi="Arial"/>
          <w:color w:val="2D2D2D"/>
          <w:sz w:val="22"/>
          <w:szCs w:val="22"/>
        </w:rPr>
        <w:t xml:space="preserve"/>
      </w:r>
      <w:r>
        <w:rPr>
          <w:rFonts w:ascii="Arial" w:cs="Arial" w:eastAsia="Arial" w:hAnsi="Arial"/>
          <w:b/>
          <w:bCs/>
          <w:color w:val="2D2D2D"/>
          <w:sz w:val="22"/>
          <w:szCs w:val="22"/>
        </w:rPr>
        <w:t xml:space="preserve">Conflict of interest screening:</w:t>
      </w:r>
      <w:r>
        <w:rPr>
          <w:rFonts w:ascii="Arial" w:cs="Arial" w:eastAsia="Arial" w:hAnsi="Arial"/>
          <w:color w:val="2D2D2D"/>
          <w:sz w:val="22"/>
          <w:szCs w:val="22"/>
        </w:rPr>
        <w:t xml:space="preserve"> All reviewers assessed for conflicts before involvement. </w:t>
      </w:r>
      <w:r>
        <w:rPr>
          <w:rFonts w:ascii="Arial" w:cs="Arial" w:eastAsia="Arial" w:hAnsi="Arial"/>
          <w:b/>
          <w:bCs/>
          <w:color w:val="2D2D2D"/>
          <w:sz w:val="22"/>
          <w:szCs w:val="22"/>
        </w:rPr>
        <w:t xml:space="preserve">(A)</w:t>
      </w:r>
      <w:r>
        <w:rPr>
          <w:rFonts w:ascii="Arial" w:cs="Arial" w:eastAsia="Arial" w:hAnsi="Arial"/>
          <w:color w:val="2D2D2D"/>
          <w:sz w:val="22"/>
          <w:szCs w:val="22"/>
        </w:rPr>
        <w:t xml:space="preserve"/>
      </w:r>
    </w:p>
    <w:p>
      <w:pPr>
        <w:pStyle w:val="ListParagraph"/>
        <w:numPr>
          <w:ilvl w:val="0"/>
          <w:numId w:val="2"/>
        </w:numPr>
        <w:spacing w:after="60"/>
      </w:pPr>
      <w:r>
        <w:rPr>
          <w:rFonts w:ascii="Arial" w:cs="Arial" w:eastAsia="Arial" w:hAnsi="Arial"/>
          <w:color w:val="2D2D2D"/>
          <w:sz w:val="22"/>
          <w:szCs w:val="22"/>
        </w:rPr>
        <w:t xml:space="preserve"/>
      </w:r>
      <w:r>
        <w:rPr>
          <w:rFonts w:ascii="Arial" w:cs="Arial" w:eastAsia="Arial" w:hAnsi="Arial"/>
          <w:b/>
          <w:bCs/>
          <w:color w:val="2D2D2D"/>
          <w:sz w:val="22"/>
          <w:szCs w:val="22"/>
        </w:rPr>
        <w:t xml:space="preserve">NDA execution:</w:t>
      </w:r>
      <w:r>
        <w:rPr>
          <w:rFonts w:ascii="Arial" w:cs="Arial" w:eastAsia="Arial" w:hAnsi="Arial"/>
          <w:color w:val="2D2D2D"/>
          <w:sz w:val="22"/>
          <w:szCs w:val="22"/>
        </w:rPr>
        <w:t xml:space="preserve"> All prospective vendors onboarded and NDAs executed before any non-public information is shared. </w:t>
      </w:r>
      <w:r>
        <w:rPr>
          <w:rFonts w:ascii="Arial" w:cs="Arial" w:eastAsia="Arial" w:hAnsi="Arial"/>
          <w:b/>
          <w:bCs/>
          <w:color w:val="2D2D2D"/>
          <w:sz w:val="22"/>
          <w:szCs w:val="22"/>
        </w:rPr>
        <w:t xml:space="preserve">(H)</w:t>
      </w:r>
      <w:r>
        <w:rPr>
          <w:rFonts w:ascii="Arial" w:cs="Arial" w:eastAsia="Arial" w:hAnsi="Arial"/>
          <w:color w:val="2D2D2D"/>
          <w:sz w:val="22"/>
          <w:szCs w:val="22"/>
        </w:rPr>
        <w:t xml:space="preserve"/>
      </w:r>
    </w:p>
    <w:p>
      <w:pPr>
        <w:pStyle w:val="ListParagraph"/>
        <w:numPr>
          <w:ilvl w:val="0"/>
          <w:numId w:val="2"/>
        </w:numPr>
        <w:spacing w:after="60"/>
      </w:pPr>
      <w:r>
        <w:rPr>
          <w:rFonts w:ascii="Arial" w:cs="Arial" w:eastAsia="Arial" w:hAnsi="Arial"/>
          <w:color w:val="2D2D2D"/>
          <w:sz w:val="22"/>
          <w:szCs w:val="22"/>
        </w:rPr>
        <w:t xml:space="preserve"/>
      </w:r>
      <w:r>
        <w:rPr>
          <w:rFonts w:ascii="Arial" w:cs="Arial" w:eastAsia="Arial" w:hAnsi="Arial"/>
          <w:b/>
          <w:bCs/>
          <w:color w:val="2D2D2D"/>
          <w:sz w:val="22"/>
          <w:szCs w:val="22"/>
        </w:rPr>
        <w:t xml:space="preserve">Due diligence execution:</w:t>
      </w:r>
      <w:r>
        <w:rPr>
          <w:rFonts w:ascii="Arial" w:cs="Arial" w:eastAsia="Arial" w:hAnsi="Arial"/>
          <w:color w:val="2D2D2D"/>
          <w:sz w:val="22"/>
          <w:szCs w:val="22"/>
        </w:rPr>
        <w:t xml:space="preserve"> Proportionate to risk tier—Tier 1 (Critical) receives full financial, operational, security, BCP, regulatory, AI, fourth-party, and data privacy assessment. Tier 4 (Low) receives attestation-based assessment only.</w:t>
      </w:r>
    </w:p>
    <w:p>
      <w:pPr>
        <w:pStyle w:val="Heading2"/>
        <w:spacing w:before="300" w:after="120"/>
      </w:pPr>
      <w:r>
        <w:rPr>
          <w:rFonts w:ascii="Arial" w:cs="Arial" w:eastAsia="Arial" w:hAnsi="Arial"/>
          <w:b/>
          <w:bCs/>
          <w:color w:val="2C5F8A"/>
          <w:sz w:val="28"/>
          <w:szCs w:val="28"/>
        </w:rPr>
        <w:t xml:space="preserve">12.3 Stage 3: RFP Construction via Legal Knowledge Graph</w:t>
      </w:r>
    </w:p>
    <w:p>
      <w:pPr>
        <w:spacing w:after="120"/>
      </w:pPr>
      <w:r>
        <w:rPr>
          <w:rFonts w:ascii="Arial" w:cs="Arial" w:eastAsia="Arial" w:hAnsi="Arial"/>
          <w:color w:val="2D2D2D"/>
          <w:sz w:val="22"/>
          <w:szCs w:val="22"/>
        </w:rPr>
        <w:t xml:space="preserve">Task type: </w:t>
      </w:r>
      <w:r>
        <w:rPr>
          <w:rFonts w:ascii="Arial" w:cs="Arial" w:eastAsia="Arial" w:hAnsi="Arial"/>
          <w:b/>
          <w:bCs/>
          <w:color w:val="2D2D2D"/>
          <w:sz w:val="22"/>
          <w:szCs w:val="22"/>
        </w:rPr>
        <w:t xml:space="preserve">Deterministic Agent-Enabled (DA)</w:t>
      </w:r>
      <w:r>
        <w:rPr>
          <w:rFonts w:ascii="Arial" w:cs="Arial" w:eastAsia="Arial" w:hAnsi="Arial"/>
          <w:color w:val="2D2D2D"/>
          <w:sz w:val="22"/>
          <w:szCs w:val="22"/>
        </w:rPr>
        <w:t xml:space="preserve"> for clause assembly; </w:t>
      </w:r>
      <w:r>
        <w:rPr>
          <w:rFonts w:ascii="Arial" w:cs="Arial" w:eastAsia="Arial" w:hAnsi="Arial"/>
          <w:b/>
          <w:bCs/>
          <w:color w:val="2D2D2D"/>
          <w:sz w:val="22"/>
          <w:szCs w:val="22"/>
        </w:rPr>
        <w:t xml:space="preserve">Human-in-the-Loop (H)</w:t>
      </w:r>
      <w:r>
        <w:rPr>
          <w:rFonts w:ascii="Arial" w:cs="Arial" w:eastAsia="Arial" w:hAnsi="Arial"/>
          <w:color w:val="2D2D2D"/>
          <w:sz w:val="22"/>
          <w:szCs w:val="22"/>
        </w:rPr>
        <w:t xml:space="preserve"> for Legal Counsel review and approval.</w:t>
      </w:r>
    </w:p>
    <w:p>
      <w:pPr>
        <w:pBdr>
          <w:left w:val="single" w:color="0D7377" w:sz="12" w:space="8"/>
        </w:pBdr>
        <w:shd w:fill="E8F5E9" w:val="clear"/>
        <w:spacing w:before="160" w:after="160"/>
        <w:ind w:left="240" w:right="240"/>
      </w:pPr>
      <w:r>
        <w:rPr>
          <w:rFonts w:ascii="Arial" w:cs="Arial" w:eastAsia="Arial" w:hAnsi="Arial"/>
          <w:i/>
          <w:iCs/>
          <w:color w:val="2D2D2D"/>
          <w:sz w:val="22"/>
          <w:szCs w:val="22"/>
        </w:rPr>
        <w:t xml:space="preserve">Deterministic Knowledge Integration: The Legal Knowledge Graph is a deterministic knowledge base. All clause selection is governed by explicit graph traversal rules based on vendor risk tier, acquisition type, data sensitivity, regulatory flags, AI enablement, and jurisdiction. No informal clause selection. No email-based legal review loops. All auto-generated clauses reviewed and approved by Legal Counsel before RFP issuance.</w:t>
      </w:r>
    </w:p>
    <w:p>
      <w:pPr>
        <w:pStyle w:val="ListParagraph"/>
        <w:numPr>
          <w:ilvl w:val="0"/>
          <w:numId w:val="2"/>
        </w:numPr>
        <w:spacing w:after="60"/>
      </w:pPr>
      <w:r>
        <w:rPr>
          <w:rFonts w:ascii="Arial" w:cs="Arial" w:eastAsia="Arial" w:hAnsi="Arial"/>
          <w:color w:val="2D2D2D"/>
          <w:sz w:val="22"/>
          <w:szCs w:val="22"/>
        </w:rPr>
        <w:t xml:space="preserve">Graph nodes: Legal clauses (versioned); regulatory requirements (cited); contract types; data domains; vendor risk scenarios; precedent outcomes.</w:t>
      </w:r>
    </w:p>
    <w:p>
      <w:pPr>
        <w:pStyle w:val="ListParagraph"/>
        <w:numPr>
          <w:ilvl w:val="0"/>
          <w:numId w:val="2"/>
        </w:numPr>
        <w:spacing w:after="60"/>
      </w:pPr>
      <w:r>
        <w:rPr>
          <w:rFonts w:ascii="Arial" w:cs="Arial" w:eastAsia="Arial" w:hAnsi="Arial"/>
          <w:color w:val="2D2D2D"/>
          <w:sz w:val="22"/>
          <w:szCs w:val="22"/>
        </w:rPr>
        <w:t xml:space="preserve">Graph edges: required_by (regulation); applicable_when (context); supersedes (version); conflicts_with (mutual exclusivity); recommended_for (best practice).</w:t>
      </w:r>
    </w:p>
    <w:p>
      <w:pPr>
        <w:pStyle w:val="ListParagraph"/>
        <w:numPr>
          <w:ilvl w:val="0"/>
          <w:numId w:val="2"/>
        </w:numPr>
        <w:spacing w:after="60"/>
      </w:pPr>
      <w:r>
        <w:rPr>
          <w:rFonts w:ascii="Arial" w:cs="Arial" w:eastAsia="Arial" w:hAnsi="Arial"/>
          <w:color w:val="2D2D2D"/>
          <w:sz w:val="22"/>
          <w:szCs w:val="22"/>
        </w:rPr>
        <w:t xml:space="preserve">Context-driven clause selection: inputs from intake and risk classification drive mandatory clause assembly. Conflicting clause combinations flagged for Legal Counsel review.</w:t>
      </w:r>
    </w:p>
    <w:p>
      <w:pPr>
        <w:pStyle w:val="Heading2"/>
        <w:spacing w:before="300" w:after="120"/>
      </w:pPr>
      <w:r>
        <w:rPr>
          <w:rFonts w:ascii="Arial" w:cs="Arial" w:eastAsia="Arial" w:hAnsi="Arial"/>
          <w:b/>
          <w:bCs/>
          <w:color w:val="2C5F8A"/>
          <w:sz w:val="28"/>
          <w:szCs w:val="28"/>
        </w:rPr>
        <w:t xml:space="preserve">12.4 Stage 4: Sourcing Event and Vendor Selection (DMN-07)</w:t>
      </w:r>
    </w:p>
    <w:p>
      <w:pPr>
        <w:spacing w:after="120"/>
      </w:pPr>
      <w:r>
        <w:rPr>
          <w:rFonts w:ascii="Arial" w:cs="Arial" w:eastAsia="Arial" w:hAnsi="Arial"/>
          <w:color w:val="2D2D2D"/>
          <w:sz w:val="22"/>
          <w:szCs w:val="22"/>
        </w:rPr>
        <w:t xml:space="preserve">Task type: </w:t>
      </w:r>
      <w:r>
        <w:rPr>
          <w:rFonts w:ascii="Arial" w:cs="Arial" w:eastAsia="Arial" w:hAnsi="Arial"/>
          <w:b/>
          <w:bCs/>
          <w:color w:val="2D2D2D"/>
          <w:sz w:val="22"/>
          <w:szCs w:val="22"/>
        </w:rPr>
        <w:t xml:space="preserve">Human-in-the-Loop (H)</w:t>
      </w:r>
      <w:r>
        <w:rPr>
          <w:rFonts w:ascii="Arial" w:cs="Arial" w:eastAsia="Arial" w:hAnsi="Arial"/>
          <w:color w:val="2D2D2D"/>
          <w:sz w:val="22"/>
          <w:szCs w:val="22"/>
        </w:rPr>
        <w:t xml:space="preserve"> for evaluation; </w:t>
      </w:r>
      <w:r>
        <w:rPr>
          <w:rFonts w:ascii="Arial" w:cs="Arial" w:eastAsia="Arial" w:hAnsi="Arial"/>
          <w:b/>
          <w:bCs/>
          <w:color w:val="2D2D2D"/>
          <w:sz w:val="22"/>
          <w:szCs w:val="22"/>
        </w:rPr>
        <w:t xml:space="preserve">Automated (A)</w:t>
      </w:r>
      <w:r>
        <w:rPr>
          <w:rFonts w:ascii="Arial" w:cs="Arial" w:eastAsia="Arial" w:hAnsi="Arial"/>
          <w:color w:val="2D2D2D"/>
          <w:sz w:val="22"/>
          <w:szCs w:val="22"/>
        </w:rPr>
        <w:t xml:space="preserve"> for DMN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200"/>
        <w:gridCol w:w="1200"/>
        <w:gridCol w:w="1400"/>
        <w:gridCol w:w="1200"/>
        <w:gridCol w:w="1400"/>
        <w:gridCol w:w="2460"/>
      </w:tblGrid>
      <w:tr>
        <w:tc>
          <w:tcPr>
            <w:tcW w:type="dxa" w:w="50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120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Vendors Responded</w:t>
            </w:r>
          </w:p>
        </w:tc>
        <w:tc>
          <w:tcPr>
            <w:tcW w:type="dxa" w:w="120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Pilot Outcome</w:t>
            </w:r>
          </w:p>
        </w:tc>
        <w:tc>
          <w:tcPr>
            <w:tcW w:type="dxa" w:w="140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RAE Findings</w:t>
            </w:r>
          </w:p>
        </w:tc>
        <w:tc>
          <w:tcPr>
            <w:tcW w:type="dxa" w:w="120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AI Gov?</w:t>
            </w:r>
          </w:p>
        </w:tc>
        <w:tc>
          <w:tcPr>
            <w:tcW w:type="dxa" w:w="140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Decision</w:t>
            </w:r>
          </w:p>
        </w:tc>
        <w:tc>
          <w:tcPr>
            <w:tcW w:type="dxa" w:w="246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r>
      <w:tr>
        <w:tc>
          <w:tcPr>
            <w:tcW w:type="dxa" w:w="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1</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1+</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PASS</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None / Minor</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YES / N/A</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PROCEED</w:t>
            </w:r>
            <w:r>
              <w:rPr>
                <w:rFonts w:ascii="Arial" w:cs="Arial" w:eastAsia="Arial" w:hAnsi="Arial"/>
                <w:color w:val="2D2D2D"/>
                <w:sz w:val="20"/>
                <w:szCs w:val="20"/>
              </w:rPr>
              <w:t xml:space="preserve"/>
            </w:r>
          </w:p>
        </w:tc>
        <w:tc>
          <w:tcPr>
            <w:tcW w:type="dxa" w:w="24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Contract negotiation; TPRM onboarding initiated</w:t>
            </w:r>
          </w:p>
        </w:tc>
      </w:tr>
      <w:tr>
        <w:tc>
          <w:tcPr>
            <w:tcW w:type="dxa" w:w="5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2</w:t>
            </w:r>
          </w:p>
        </w:tc>
        <w:tc>
          <w:tcPr>
            <w:tcW w:type="dxa" w:w="12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1+</w:t>
            </w:r>
          </w:p>
        </w:tc>
        <w:tc>
          <w:tcPr>
            <w:tcW w:type="dxa" w:w="12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PASS</w:t>
            </w:r>
          </w:p>
        </w:tc>
        <w:tc>
          <w:tcPr>
            <w:tcW w:type="dxa" w:w="14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Moderate</w:t>
            </w:r>
          </w:p>
        </w:tc>
        <w:tc>
          <w:tcPr>
            <w:tcW w:type="dxa" w:w="12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YES / N/A</w:t>
            </w:r>
          </w:p>
        </w:tc>
        <w:tc>
          <w:tcPr>
            <w:tcW w:type="dxa" w:w="14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CONDITIONAL</w:t>
            </w:r>
            <w:r>
              <w:rPr>
                <w:rFonts w:ascii="Arial" w:cs="Arial" w:eastAsia="Arial" w:hAnsi="Arial"/>
                <w:color w:val="2D2D2D"/>
                <w:sz w:val="20"/>
                <w:szCs w:val="20"/>
              </w:rPr>
              <w:t xml:space="preserve"/>
            </w:r>
          </w:p>
        </w:tc>
        <w:tc>
          <w:tcPr>
            <w:tcW w:type="dxa" w:w="246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Findings as binding contract obligations; re-RAE post-signature</w:t>
            </w:r>
          </w:p>
        </w:tc>
      </w:tr>
      <w:tr>
        <w:tc>
          <w:tcPr>
            <w:tcW w:type="dxa" w:w="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3</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1+</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FAIL</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Any</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RESTART</w:t>
            </w:r>
            <w:r>
              <w:rPr>
                <w:rFonts w:ascii="Arial" w:cs="Arial" w:eastAsia="Arial" w:hAnsi="Arial"/>
                <w:color w:val="2D2D2D"/>
                <w:sz w:val="20"/>
                <w:szCs w:val="20"/>
              </w:rPr>
              <w:t xml:space="preserve"/>
            </w:r>
          </w:p>
        </w:tc>
        <w:tc>
          <w:tcPr>
            <w:tcW w:type="dxa" w:w="24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Re-scope RFP or expand vendor pool; root cause documented</w:t>
            </w:r>
          </w:p>
        </w:tc>
      </w:tr>
      <w:tr>
        <w:tc>
          <w:tcPr>
            <w:tcW w:type="dxa" w:w="5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4</w:t>
            </w:r>
          </w:p>
        </w:tc>
        <w:tc>
          <w:tcPr>
            <w:tcW w:type="dxa" w:w="12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1+</w:t>
            </w:r>
          </w:p>
        </w:tc>
        <w:tc>
          <w:tcPr>
            <w:tcW w:type="dxa" w:w="12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PASS</w:t>
            </w:r>
          </w:p>
        </w:tc>
        <w:tc>
          <w:tcPr>
            <w:tcW w:type="dxa" w:w="14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Critical</w:t>
            </w:r>
          </w:p>
        </w:tc>
        <w:tc>
          <w:tcPr>
            <w:tcW w:type="dxa" w:w="12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w:t>
            </w:r>
          </w:p>
        </w:tc>
        <w:tc>
          <w:tcPr>
            <w:tcW w:type="dxa" w:w="14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NO-GO</w:t>
            </w:r>
            <w:r>
              <w:rPr>
                <w:rFonts w:ascii="Arial" w:cs="Arial" w:eastAsia="Arial" w:hAnsi="Arial"/>
                <w:color w:val="2D2D2D"/>
                <w:sz w:val="20"/>
                <w:szCs w:val="20"/>
              </w:rPr>
              <w:t xml:space="preserve"/>
            </w:r>
          </w:p>
        </w:tc>
        <w:tc>
          <w:tcPr>
            <w:tcW w:type="dxa" w:w="246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Close with rationale; explore Build pivot or alternative sourcing</w:t>
            </w:r>
          </w:p>
        </w:tc>
      </w:tr>
      <w:tr>
        <w:tc>
          <w:tcPr>
            <w:tcW w:type="dxa" w:w="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5</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0</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N/A</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N/A</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RETHINK</w:t>
            </w:r>
            <w:r>
              <w:rPr>
                <w:rFonts w:ascii="Arial" w:cs="Arial" w:eastAsia="Arial" w:hAnsi="Arial"/>
                <w:color w:val="2D2D2D"/>
                <w:sz w:val="20"/>
                <w:szCs w:val="20"/>
              </w:rPr>
              <w:t xml:space="preserve"/>
            </w:r>
          </w:p>
        </w:tc>
        <w:tc>
          <w:tcPr>
            <w:tcW w:type="dxa" w:w="24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Sole-source or Build pivot to Portfolio Council</w:t>
            </w:r>
          </w:p>
        </w:tc>
      </w:tr>
    </w:tbl>
    <w:p>
      <w:pPr>
        <w:pStyle w:val="Heading2"/>
        <w:spacing w:before="300" w:after="120"/>
      </w:pPr>
      <w:r>
        <w:rPr>
          <w:rFonts w:ascii="Arial" w:cs="Arial" w:eastAsia="Arial" w:hAnsi="Arial"/>
          <w:b/>
          <w:bCs/>
          <w:color w:val="2C5F8A"/>
          <w:sz w:val="28"/>
          <w:szCs w:val="28"/>
        </w:rPr>
        <w:t xml:space="preserve">12.5 Stage 4 Continued: Contracting and Funding (DMN-08)</w:t>
      </w:r>
    </w:p>
    <w:p>
      <w:pPr>
        <w:spacing w:after="120"/>
      </w:pPr>
      <w:r>
        <w:rPr>
          <w:rFonts w:ascii="Arial" w:cs="Arial" w:eastAsia="Arial" w:hAnsi="Arial"/>
          <w:color w:val="2D2D2D"/>
          <w:sz w:val="22"/>
          <w:szCs w:val="22"/>
        </w:rPr>
        <w:t xml:space="preserve">Task type: </w:t>
      </w:r>
      <w:r>
        <w:rPr>
          <w:rFonts w:ascii="Arial" w:cs="Arial" w:eastAsia="Arial" w:hAnsi="Arial"/>
          <w:b/>
          <w:bCs/>
          <w:color w:val="2D2D2D"/>
          <w:sz w:val="22"/>
          <w:szCs w:val="22"/>
        </w:rPr>
        <w:t xml:space="preserve">Human-in-the-Loop (H)</w:t>
      </w:r>
      <w:r>
        <w:rPr>
          <w:rFonts w:ascii="Arial" w:cs="Arial" w:eastAsia="Arial" w:hAnsi="Arial"/>
          <w:color w:val="2D2D2D"/>
          <w:sz w:val="22"/>
          <w:szCs w:val="22"/>
        </w:rPr>
        <w:t xml:space="preserve"> for negotiation; </w:t>
      </w:r>
      <w:r>
        <w:rPr>
          <w:rFonts w:ascii="Arial" w:cs="Arial" w:eastAsia="Arial" w:hAnsi="Arial"/>
          <w:b/>
          <w:bCs/>
          <w:color w:val="2D2D2D"/>
          <w:sz w:val="22"/>
          <w:szCs w:val="22"/>
        </w:rPr>
        <w:t xml:space="preserve">Deterministic Agent-Enabled (DA)</w:t>
      </w:r>
      <w:r>
        <w:rPr>
          <w:rFonts w:ascii="Arial" w:cs="Arial" w:eastAsia="Arial" w:hAnsi="Arial"/>
          <w:color w:val="2D2D2D"/>
          <w:sz w:val="22"/>
          <w:szCs w:val="22"/>
        </w:rPr>
        <w:t xml:space="preserve"> for contract redline review; </w:t>
      </w:r>
      <w:r>
        <w:rPr>
          <w:rFonts w:ascii="Arial" w:cs="Arial" w:eastAsia="Arial" w:hAnsi="Arial"/>
          <w:b/>
          <w:bCs/>
          <w:color w:val="2D2D2D"/>
          <w:sz w:val="22"/>
          <w:szCs w:val="22"/>
        </w:rPr>
        <w:t xml:space="preserve">Automated (A)</w:t>
      </w:r>
      <w:r>
        <w:rPr>
          <w:rFonts w:ascii="Arial" w:cs="Arial" w:eastAsia="Arial" w:hAnsi="Arial"/>
          <w:color w:val="2D2D2D"/>
          <w:sz w:val="22"/>
          <w:szCs w:val="22"/>
        </w:rPr>
        <w:t xml:space="preserve"> for funding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200"/>
        <w:gridCol w:w="1200"/>
        <w:gridCol w:w="1200"/>
        <w:gridCol w:w="1200"/>
        <w:gridCol w:w="1500"/>
        <w:gridCol w:w="2560"/>
      </w:tblGrid>
      <w:tr>
        <w:tc>
          <w:tcPr>
            <w:tcW w:type="dxa" w:w="50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120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Finance Engaged?</w:t>
            </w:r>
          </w:p>
        </w:tc>
        <w:tc>
          <w:tcPr>
            <w:tcW w:type="dxa" w:w="120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Budget Avail.?</w:t>
            </w:r>
          </w:p>
        </w:tc>
        <w:tc>
          <w:tcPr>
            <w:tcW w:type="dxa" w:w="120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FP&amp;A Complete?</w:t>
            </w:r>
          </w:p>
        </w:tc>
        <w:tc>
          <w:tcPr>
            <w:tcW w:type="dxa" w:w="120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Budget Year</w:t>
            </w:r>
          </w:p>
        </w:tc>
        <w:tc>
          <w:tcPr>
            <w:tcW w:type="dxa" w:w="150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Decision</w:t>
            </w:r>
          </w:p>
        </w:tc>
        <w:tc>
          <w:tcPr>
            <w:tcW w:type="dxa" w:w="256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r>
      <w:tr>
        <w:tc>
          <w:tcPr>
            <w:tcW w:type="dxa" w:w="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1</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YES</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YES</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YES</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Current FY</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FUNDED—Proceed</w:t>
            </w:r>
            <w:r>
              <w:rPr>
                <w:rFonts w:ascii="Arial" w:cs="Arial" w:eastAsia="Arial" w:hAnsi="Arial"/>
                <w:color w:val="2D2D2D"/>
                <w:sz w:val="20"/>
                <w:szCs w:val="20"/>
              </w:rPr>
              <w:t xml:space="preserve"/>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Final contract execution; PO issuance; TPRM onboarding</w:t>
            </w:r>
          </w:p>
        </w:tc>
      </w:tr>
      <w:tr>
        <w:tc>
          <w:tcPr>
            <w:tcW w:type="dxa" w:w="5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2</w:t>
            </w:r>
          </w:p>
        </w:tc>
        <w:tc>
          <w:tcPr>
            <w:tcW w:type="dxa" w:w="12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YES</w:t>
            </w:r>
          </w:p>
        </w:tc>
        <w:tc>
          <w:tcPr>
            <w:tcW w:type="dxa" w:w="12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YES</w:t>
            </w:r>
          </w:p>
        </w:tc>
        <w:tc>
          <w:tcPr>
            <w:tcW w:type="dxa" w:w="12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YES</w:t>
            </w:r>
          </w:p>
        </w:tc>
        <w:tc>
          <w:tcPr>
            <w:tcW w:type="dxa" w:w="12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Next FY</w:t>
            </w:r>
          </w:p>
        </w:tc>
        <w:tc>
          <w:tcPr>
            <w:tcW w:type="dxa" w:w="15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FUNDED—Deferred</w:t>
            </w:r>
            <w:r>
              <w:rPr>
                <w:rFonts w:ascii="Arial" w:cs="Arial" w:eastAsia="Arial" w:hAnsi="Arial"/>
                <w:color w:val="2D2D2D"/>
                <w:sz w:val="20"/>
                <w:szCs w:val="20"/>
              </w:rPr>
              <w:t xml:space="preserve"/>
            </w:r>
          </w:p>
        </w:tc>
        <w:tc>
          <w:tcPr>
            <w:tcW w:type="dxa" w:w="256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Contract signed; commencement next FY; costs accrued</w:t>
            </w:r>
          </w:p>
        </w:tc>
      </w:tr>
      <w:tr>
        <w:tc>
          <w:tcPr>
            <w:tcW w:type="dxa" w:w="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3</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YES</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NO</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Any</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NO FUNDING</w:t>
            </w:r>
            <w:r>
              <w:rPr>
                <w:rFonts w:ascii="Arial" w:cs="Arial" w:eastAsia="Arial" w:hAnsi="Arial"/>
                <w:color w:val="2D2D2D"/>
                <w:sz w:val="20"/>
                <w:szCs w:val="20"/>
              </w:rPr>
              <w:t xml:space="preserve"/>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Re-evaluated in next planning cycle; requestor notified</w:t>
            </w:r>
          </w:p>
        </w:tc>
      </w:tr>
      <w:tr>
        <w:tc>
          <w:tcPr>
            <w:tcW w:type="dxa" w:w="5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4</w:t>
            </w:r>
          </w:p>
        </w:tc>
        <w:tc>
          <w:tcPr>
            <w:tcW w:type="dxa" w:w="12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NO</w:t>
            </w:r>
          </w:p>
        </w:tc>
        <w:tc>
          <w:tcPr>
            <w:tcW w:type="dxa" w:w="12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w:t>
            </w:r>
          </w:p>
        </w:tc>
        <w:tc>
          <w:tcPr>
            <w:tcW w:type="dxa" w:w="12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w:t>
            </w:r>
          </w:p>
        </w:tc>
        <w:tc>
          <w:tcPr>
            <w:tcW w:type="dxa" w:w="12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Any</w:t>
            </w:r>
          </w:p>
        </w:tc>
        <w:tc>
          <w:tcPr>
            <w:tcW w:type="dxa" w:w="15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ESCALATE</w:t>
            </w:r>
            <w:r>
              <w:rPr>
                <w:rFonts w:ascii="Arial" w:cs="Arial" w:eastAsia="Arial" w:hAnsi="Arial"/>
                <w:color w:val="2D2D2D"/>
                <w:sz w:val="20"/>
                <w:szCs w:val="20"/>
              </w:rPr>
              <w:t xml:space="preserve"/>
            </w:r>
          </w:p>
        </w:tc>
        <w:tc>
          <w:tcPr>
            <w:tcW w:type="dxa" w:w="256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Finance Controller engaged within 3 days; 10-day resolution target</w:t>
            </w:r>
          </w:p>
        </w:tc>
      </w:tr>
    </w:tbl>
    <w:p>
      <w:pPr>
        <w:pStyle w:val="Heading2"/>
        <w:spacing w:before="300" w:after="120"/>
      </w:pPr>
      <w:r>
        <w:rPr>
          <w:rFonts w:ascii="Arial" w:cs="Arial" w:eastAsia="Arial" w:hAnsi="Arial"/>
          <w:b/>
          <w:bCs/>
          <w:color w:val="2C5F8A"/>
          <w:sz w:val="28"/>
          <w:szCs w:val="28"/>
        </w:rPr>
        <w:t xml:space="preserve">12.6 Stage 5: Vendor Onboarding and Enablement</w:t>
      </w:r>
    </w:p>
    <w:p>
      <w:pPr>
        <w:spacing w:after="120"/>
      </w:pPr>
      <w:r>
        <w:rPr>
          <w:rFonts w:ascii="Arial" w:cs="Arial" w:eastAsia="Arial" w:hAnsi="Arial"/>
          <w:color w:val="2D2D2D"/>
          <w:sz w:val="22"/>
          <w:szCs w:val="22"/>
        </w:rPr>
        <w:t xml:space="preserve">Task type mix: </w:t>
      </w:r>
      <w:r>
        <w:rPr>
          <w:rFonts w:ascii="Arial" w:cs="Arial" w:eastAsia="Arial" w:hAnsi="Arial"/>
          <w:b/>
          <w:bCs/>
          <w:color w:val="2D2D2D"/>
          <w:sz w:val="22"/>
          <w:szCs w:val="22"/>
        </w:rPr>
        <w:t xml:space="preserve">Automated (A)</w:t>
      </w:r>
      <w:r>
        <w:rPr>
          <w:rFonts w:ascii="Arial" w:cs="Arial" w:eastAsia="Arial" w:hAnsi="Arial"/>
          <w:color w:val="2D2D2D"/>
          <w:sz w:val="22"/>
          <w:szCs w:val="22"/>
        </w:rPr>
        <w:t xml:space="preserve"> for provisioning and registration; </w:t>
      </w:r>
      <w:r>
        <w:rPr>
          <w:rFonts w:ascii="Arial" w:cs="Arial" w:eastAsia="Arial" w:hAnsi="Arial"/>
          <w:b/>
          <w:bCs/>
          <w:color w:val="2D2D2D"/>
          <w:sz w:val="22"/>
          <w:szCs w:val="22"/>
        </w:rPr>
        <w:t xml:space="preserve">Human-in-the-Loop (H)</w:t>
      </w:r>
      <w:r>
        <w:rPr>
          <w:rFonts w:ascii="Arial" w:cs="Arial" w:eastAsia="Arial" w:hAnsi="Arial"/>
          <w:color w:val="2D2D2D"/>
          <w:sz w:val="22"/>
          <w:szCs w:val="22"/>
        </w:rPr>
        <w:t xml:space="preserve"> for sign-offs.</w:t>
      </w:r>
    </w:p>
    <w:p>
      <w:pPr>
        <w:pStyle w:val="ListParagraph"/>
        <w:numPr>
          <w:ilvl w:val="0"/>
          <w:numId w:val="2"/>
        </w:numPr>
        <w:spacing w:after="60"/>
      </w:pPr>
      <w:r>
        <w:rPr>
          <w:rFonts w:ascii="Arial" w:cs="Arial" w:eastAsia="Arial" w:hAnsi="Arial"/>
          <w:color w:val="2D2D2D"/>
          <w:sz w:val="22"/>
          <w:szCs w:val="22"/>
        </w:rPr>
        <w:t xml:space="preserve"/>
      </w:r>
      <w:r>
        <w:rPr>
          <w:rFonts w:ascii="Arial" w:cs="Arial" w:eastAsia="Arial" w:hAnsi="Arial"/>
          <w:b/>
          <w:bCs/>
          <w:color w:val="2D2D2D"/>
          <w:sz w:val="22"/>
          <w:szCs w:val="22"/>
        </w:rPr>
        <w:t xml:space="preserve">Vendor Registration (A):</w:t>
      </w:r>
      <w:r>
        <w:rPr>
          <w:rFonts w:ascii="Arial" w:cs="Arial" w:eastAsia="Arial" w:hAnsi="Arial"/>
          <w:color w:val="2D2D2D"/>
          <w:sz w:val="22"/>
          <w:szCs w:val="22"/>
        </w:rPr>
        <w:t xml:space="preserve"> Vendor registered in procurement system, CMDB, and TPRM Vendor Register with risk tier, relationship owner role, monitoring cadence, and renewal date.</w:t>
      </w:r>
    </w:p>
    <w:p>
      <w:pPr>
        <w:pStyle w:val="ListParagraph"/>
        <w:numPr>
          <w:ilvl w:val="0"/>
          <w:numId w:val="2"/>
        </w:numPr>
        <w:spacing w:after="60"/>
      </w:pPr>
      <w:r>
        <w:rPr>
          <w:rFonts w:ascii="Arial" w:cs="Arial" w:eastAsia="Arial" w:hAnsi="Arial"/>
          <w:color w:val="2D2D2D"/>
          <w:sz w:val="22"/>
          <w:szCs w:val="22"/>
        </w:rPr>
        <w:t xml:space="preserve"/>
      </w:r>
      <w:r>
        <w:rPr>
          <w:rFonts w:ascii="Arial" w:cs="Arial" w:eastAsia="Arial" w:hAnsi="Arial"/>
          <w:b/>
          <w:bCs/>
          <w:color w:val="2D2D2D"/>
          <w:sz w:val="22"/>
          <w:szCs w:val="22"/>
        </w:rPr>
        <w:t xml:space="preserve">Access Provisioning (A):</w:t>
      </w:r>
      <w:r>
        <w:rPr>
          <w:rFonts w:ascii="Arial" w:cs="Arial" w:eastAsia="Arial" w:hAnsi="Arial"/>
          <w:color w:val="2D2D2D"/>
          <w:sz w:val="22"/>
          <w:szCs w:val="22"/>
        </w:rPr>
        <w:t xml:space="preserve"> Least-privilege access; vendor accounts provisioned in IAM; Privileged Access Management for Tier 1 vendors.</w:t>
      </w:r>
    </w:p>
    <w:p>
      <w:pPr>
        <w:pStyle w:val="ListParagraph"/>
        <w:numPr>
          <w:ilvl w:val="0"/>
          <w:numId w:val="2"/>
        </w:numPr>
        <w:spacing w:after="60"/>
      </w:pPr>
      <w:r>
        <w:rPr>
          <w:rFonts w:ascii="Arial" w:cs="Arial" w:eastAsia="Arial" w:hAnsi="Arial"/>
          <w:color w:val="2D2D2D"/>
          <w:sz w:val="22"/>
          <w:szCs w:val="22"/>
        </w:rPr>
        <w:t xml:space="preserve"/>
      </w:r>
      <w:r>
        <w:rPr>
          <w:rFonts w:ascii="Arial" w:cs="Arial" w:eastAsia="Arial" w:hAnsi="Arial"/>
          <w:b/>
          <w:bCs/>
          <w:color w:val="2D2D2D"/>
          <w:sz w:val="22"/>
          <w:szCs w:val="22"/>
        </w:rPr>
        <w:t xml:space="preserve">Integration Testing (H):</w:t>
      </w:r>
      <w:r>
        <w:rPr>
          <w:rFonts w:ascii="Arial" w:cs="Arial" w:eastAsia="Arial" w:hAnsi="Arial"/>
          <w:color w:val="2D2D2D"/>
          <w:sz w:val="22"/>
          <w:szCs w:val="22"/>
        </w:rPr>
        <w:t xml:space="preserve"> Validated in non-production environment; results documented and signed off by Enterprise Architect and Cybersecurity Lead.</w:t>
      </w:r>
    </w:p>
    <w:p>
      <w:pPr>
        <w:pStyle w:val="ListParagraph"/>
        <w:numPr>
          <w:ilvl w:val="0"/>
          <w:numId w:val="2"/>
        </w:numPr>
        <w:spacing w:after="60"/>
      </w:pPr>
      <w:r>
        <w:rPr>
          <w:rFonts w:ascii="Arial" w:cs="Arial" w:eastAsia="Arial" w:hAnsi="Arial"/>
          <w:color w:val="2D2D2D"/>
          <w:sz w:val="22"/>
          <w:szCs w:val="22"/>
        </w:rPr>
        <w:t xml:space="preserve"/>
      </w:r>
      <w:r>
        <w:rPr>
          <w:rFonts w:ascii="Arial" w:cs="Arial" w:eastAsia="Arial" w:hAnsi="Arial"/>
          <w:b/>
          <w:bCs/>
          <w:color w:val="2D2D2D"/>
          <w:sz w:val="22"/>
          <w:szCs w:val="22"/>
        </w:rPr>
        <w:t xml:space="preserve">SBOM Collection (A):</w:t>
      </w:r>
      <w:r>
        <w:rPr>
          <w:rFonts w:ascii="Arial" w:cs="Arial" w:eastAsia="Arial" w:hAnsi="Arial"/>
          <w:color w:val="2D2D2D"/>
          <w:sz w:val="22"/>
          <w:szCs w:val="22"/>
        </w:rPr>
        <w:t xml:space="preserve"> Vendor delivers SBOM; stored in Software Registry and linked to NVD scanning.</w:t>
      </w:r>
    </w:p>
    <w:p>
      <w:pPr>
        <w:pStyle w:val="ListParagraph"/>
        <w:numPr>
          <w:ilvl w:val="0"/>
          <w:numId w:val="2"/>
        </w:numPr>
        <w:spacing w:after="60"/>
      </w:pPr>
      <w:r>
        <w:rPr>
          <w:rFonts w:ascii="Arial" w:cs="Arial" w:eastAsia="Arial" w:hAnsi="Arial"/>
          <w:color w:val="2D2D2D"/>
          <w:sz w:val="22"/>
          <w:szCs w:val="22"/>
        </w:rPr>
        <w:t xml:space="preserve"/>
      </w:r>
      <w:r>
        <w:rPr>
          <w:rFonts w:ascii="Arial" w:cs="Arial" w:eastAsia="Arial" w:hAnsi="Arial"/>
          <w:b/>
          <w:bCs/>
          <w:color w:val="2D2D2D"/>
          <w:sz w:val="22"/>
          <w:szCs w:val="22"/>
        </w:rPr>
        <w:t xml:space="preserve">Onboarding Checklist Sign-off (H):</w:t>
      </w:r>
      <w:r>
        <w:rPr>
          <w:rFonts w:ascii="Arial" w:cs="Arial" w:eastAsia="Arial" w:hAnsi="Arial"/>
          <w:color w:val="2D2D2D"/>
          <w:sz w:val="22"/>
          <w:szCs w:val="22"/>
        </w:rPr>
        <w:t xml:space="preserve"> TPRM, CyberSec, Legal, and Business Relationship Owner sign before production access.</w:t>
      </w:r>
    </w:p>
    <w:p>
      <w:pPr>
        <w:pStyle w:val="ListParagraph"/>
        <w:numPr>
          <w:ilvl w:val="0"/>
          <w:numId w:val="2"/>
        </w:numPr>
        <w:spacing w:after="60"/>
      </w:pPr>
      <w:r>
        <w:rPr>
          <w:rFonts w:ascii="Arial" w:cs="Arial" w:eastAsia="Arial" w:hAnsi="Arial"/>
          <w:color w:val="2D2D2D"/>
          <w:sz w:val="22"/>
          <w:szCs w:val="22"/>
        </w:rPr>
        <w:t xml:space="preserve"/>
      </w:r>
      <w:r>
        <w:rPr>
          <w:rFonts w:ascii="Arial" w:cs="Arial" w:eastAsia="Arial" w:hAnsi="Arial"/>
          <w:b/>
          <w:bCs/>
          <w:color w:val="2D2D2D"/>
          <w:sz w:val="22"/>
          <w:szCs w:val="22"/>
        </w:rPr>
        <w:t xml:space="preserve">SLA Baseline (A):</w:t>
      </w:r>
      <w:r>
        <w:rPr>
          <w:rFonts w:ascii="Arial" w:cs="Arial" w:eastAsia="Arial" w:hAnsi="Arial"/>
          <w:color w:val="2D2D2D"/>
          <w:sz w:val="22"/>
          <w:szCs w:val="22"/>
        </w:rPr>
        <w:t xml:space="preserve"> Performance metrics baselined in first 30 days; monitoring dashboard activated.</w:t>
      </w:r>
    </w:p>
    <w:p>
      <w:pPr>
        <w:pStyle w:val="Heading2"/>
        <w:spacing w:before="300" w:after="120"/>
      </w:pPr>
      <w:r>
        <w:rPr>
          <w:rFonts w:ascii="Arial" w:cs="Arial" w:eastAsia="Arial" w:hAnsi="Arial"/>
          <w:b/>
          <w:bCs/>
          <w:color w:val="2C5F8A"/>
          <w:sz w:val="28"/>
          <w:szCs w:val="28"/>
        </w:rPr>
        <w:t xml:space="preserve">12.7 Stage 6: Ongoing Monitoring (DMN-14)</w:t>
      </w:r>
    </w:p>
    <w:p>
      <w:pPr>
        <w:spacing w:after="120"/>
      </w:pPr>
      <w:r>
        <w:rPr>
          <w:rFonts w:ascii="Arial" w:cs="Arial" w:eastAsia="Arial" w:hAnsi="Arial"/>
          <w:color w:val="2D2D2D"/>
          <w:sz w:val="22"/>
          <w:szCs w:val="22"/>
        </w:rPr>
        <w:t xml:space="preserve">Task type: </w:t>
      </w:r>
      <w:r>
        <w:rPr>
          <w:rFonts w:ascii="Arial" w:cs="Arial" w:eastAsia="Arial" w:hAnsi="Arial"/>
          <w:b/>
          <w:bCs/>
          <w:color w:val="2D2D2D"/>
          <w:sz w:val="22"/>
          <w:szCs w:val="22"/>
        </w:rPr>
        <w:t xml:space="preserve">Automated (A)</w:t>
      </w:r>
      <w:r>
        <w:rPr>
          <w:rFonts w:ascii="Arial" w:cs="Arial" w:eastAsia="Arial" w:hAnsi="Arial"/>
          <w:color w:val="2D2D2D"/>
          <w:sz w:val="22"/>
          <w:szCs w:val="22"/>
        </w:rPr>
        <w:t xml:space="preserve"> for triggers and scanning; </w:t>
      </w:r>
      <w:r>
        <w:rPr>
          <w:rFonts w:ascii="Arial" w:cs="Arial" w:eastAsia="Arial" w:hAnsi="Arial"/>
          <w:b/>
          <w:bCs/>
          <w:color w:val="2D2D2D"/>
          <w:sz w:val="22"/>
          <w:szCs w:val="22"/>
        </w:rPr>
        <w:t xml:space="preserve">Human-in-the-Loop (H)</w:t>
      </w:r>
      <w:r>
        <w:rPr>
          <w:rFonts w:ascii="Arial" w:cs="Arial" w:eastAsia="Arial" w:hAnsi="Arial"/>
          <w:color w:val="2D2D2D"/>
          <w:sz w:val="22"/>
          <w:szCs w:val="22"/>
        </w:rPr>
        <w:t xml:space="preserve"> for reviews and assessments.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800"/>
        <w:gridCol w:w="1960"/>
      </w:tblGrid>
      <w:tr>
        <w:tc>
          <w:tcPr>
            <w:tcW w:type="dxa" w:w="200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Activity</w:t>
            </w:r>
          </w:p>
        </w:tc>
        <w:tc>
          <w:tcPr>
            <w:tcW w:type="dxa" w:w="180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Tier 1—Critical</w:t>
            </w:r>
          </w:p>
        </w:tc>
        <w:tc>
          <w:tcPr>
            <w:tcW w:type="dxa" w:w="180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Tier 2—Elevated</w:t>
            </w:r>
          </w:p>
        </w:tc>
        <w:tc>
          <w:tcPr>
            <w:tcW w:type="dxa" w:w="180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Tier 3—Standard</w:t>
            </w:r>
          </w:p>
        </w:tc>
        <w:tc>
          <w:tcPr>
            <w:tcW w:type="dxa" w:w="196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Tier 4—Low</w:t>
            </w:r>
          </w:p>
        </w:tc>
      </w:tr>
      <w:tr>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SLA / Performance review</w:t>
            </w:r>
            <w:r>
              <w:rPr>
                <w:rFonts w:ascii="Arial" w:cs="Arial" w:eastAsia="Arial" w:hAnsi="Arial"/>
                <w:color w:val="2D2D2D"/>
                <w:sz w:val="20"/>
                <w:szCs w:val="20"/>
              </w:rPr>
              <w:t xml:space="preserve"/>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Monthly; exec dashboard</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Quarterly</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Semi-annual</w:t>
            </w:r>
          </w:p>
        </w:tc>
        <w:tc>
          <w:tcPr>
            <w:tcW w:type="dxa" w:w="1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Annual</w:t>
            </w:r>
          </w:p>
        </w:tc>
      </w:tr>
      <w:tr>
        <w:tc>
          <w:tcPr>
            <w:tcW w:type="dxa" w:w="20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Security re-assessment</w:t>
            </w:r>
            <w:r>
              <w:rPr>
                <w:rFonts w:ascii="Arial" w:cs="Arial" w:eastAsia="Arial" w:hAnsi="Arial"/>
                <w:color w:val="2D2D2D"/>
                <w:sz w:val="20"/>
                <w:szCs w:val="20"/>
              </w:rPr>
              <w:t xml:space="preserve"/>
            </w:r>
          </w:p>
        </w:tc>
        <w:tc>
          <w:tcPr>
            <w:tcW w:type="dxa" w:w="18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Quarterly scan + annual detailed</w:t>
            </w:r>
          </w:p>
        </w:tc>
        <w:tc>
          <w:tcPr>
            <w:tcW w:type="dxa" w:w="18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Semi-annual scan + annual Q</w:t>
            </w:r>
          </w:p>
        </w:tc>
        <w:tc>
          <w:tcPr>
            <w:tcW w:type="dxa" w:w="18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Annual questionnaire</w:t>
            </w:r>
          </w:p>
        </w:tc>
        <w:tc>
          <w:tcPr>
            <w:tcW w:type="dxa" w:w="196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Biennial attestation</w:t>
            </w:r>
          </w:p>
        </w:tc>
      </w:tr>
      <w:tr>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Financial stability</w:t>
            </w:r>
            <w:r>
              <w:rPr>
                <w:rFonts w:ascii="Arial" w:cs="Arial" w:eastAsia="Arial" w:hAnsi="Arial"/>
                <w:color w:val="2D2D2D"/>
                <w:sz w:val="20"/>
                <w:szCs w:val="20"/>
              </w:rPr>
              <w:t xml:space="preserve"/>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Quarterly: credit watch + earnings</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Semi-annual review</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Annual review</w:t>
            </w:r>
          </w:p>
        </w:tc>
        <w:tc>
          <w:tcPr>
            <w:tcW w:type="dxa" w:w="1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Trigger-based only</w:t>
            </w:r>
          </w:p>
        </w:tc>
      </w:tr>
      <w:tr>
        <w:tc>
          <w:tcPr>
            <w:tcW w:type="dxa" w:w="20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BCP/DR test participation</w:t>
            </w:r>
            <w:r>
              <w:rPr>
                <w:rFonts w:ascii="Arial" w:cs="Arial" w:eastAsia="Arial" w:hAnsi="Arial"/>
                <w:color w:val="2D2D2D"/>
                <w:sz w:val="20"/>
                <w:szCs w:val="20"/>
              </w:rPr>
              <w:t xml:space="preserve"/>
            </w:r>
          </w:p>
        </w:tc>
        <w:tc>
          <w:tcPr>
            <w:tcW w:type="dxa" w:w="18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Annual: institution observes vendor DR</w:t>
            </w:r>
          </w:p>
        </w:tc>
        <w:tc>
          <w:tcPr>
            <w:tcW w:type="dxa" w:w="18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Biennial: doc review</w:t>
            </w:r>
          </w:p>
        </w:tc>
        <w:tc>
          <w:tcPr>
            <w:tcW w:type="dxa" w:w="18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Annual doc review</w:t>
            </w:r>
          </w:p>
        </w:tc>
        <w:tc>
          <w:tcPr>
            <w:tcW w:type="dxa" w:w="196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N/A</w:t>
            </w:r>
          </w:p>
        </w:tc>
      </w:tr>
      <w:tr>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Regulatory compliance</w:t>
            </w:r>
            <w:r>
              <w:rPr>
                <w:rFonts w:ascii="Arial" w:cs="Arial" w:eastAsia="Arial" w:hAnsi="Arial"/>
                <w:color w:val="2D2D2D"/>
                <w:sz w:val="20"/>
                <w:szCs w:val="20"/>
              </w:rPr>
              <w:t xml:space="preserve"/>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Quarterly attestation + annual audit</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Annual attestation</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Annual attestation</w:t>
            </w:r>
          </w:p>
        </w:tc>
        <w:tc>
          <w:tcPr>
            <w:tcW w:type="dxa" w:w="1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Biennial attestation</w:t>
            </w:r>
          </w:p>
        </w:tc>
      </w:tr>
      <w:tr>
        <w:tc>
          <w:tcPr>
            <w:tcW w:type="dxa" w:w="20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Incident/breach notification</w:t>
            </w:r>
            <w:r>
              <w:rPr>
                <w:rFonts w:ascii="Arial" w:cs="Arial" w:eastAsia="Arial" w:hAnsi="Arial"/>
                <w:color w:val="2D2D2D"/>
                <w:sz w:val="20"/>
                <w:szCs w:val="20"/>
              </w:rPr>
              <w:t xml:space="preserve"/>
            </w:r>
          </w:p>
        </w:tc>
        <w:tc>
          <w:tcPr>
            <w:tcW w:type="dxa" w:w="18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Real-time; ≤72 hours contractual</w:t>
            </w:r>
          </w:p>
        </w:tc>
        <w:tc>
          <w:tcPr>
            <w:tcW w:type="dxa" w:w="18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Real-time; 72-hour obligation</w:t>
            </w:r>
          </w:p>
        </w:tc>
        <w:tc>
          <w:tcPr>
            <w:tcW w:type="dxa" w:w="18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Real-time; 72-hour obligation</w:t>
            </w:r>
          </w:p>
        </w:tc>
        <w:tc>
          <w:tcPr>
            <w:tcW w:type="dxa" w:w="196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Real-time; 72-hour obligation</w:t>
            </w:r>
          </w:p>
        </w:tc>
      </w:tr>
      <w:tr>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Sub-contractor change</w:t>
            </w:r>
            <w:r>
              <w:rPr>
                <w:rFonts w:ascii="Arial" w:cs="Arial" w:eastAsia="Arial" w:hAnsi="Arial"/>
                <w:color w:val="2D2D2D"/>
                <w:sz w:val="20"/>
                <w:szCs w:val="20"/>
              </w:rPr>
              <w:t xml:space="preserve"/>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30-day advance notice; approval required</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60-day advance notice</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Annual disclosure</w:t>
            </w:r>
          </w:p>
        </w:tc>
        <w:tc>
          <w:tcPr>
            <w:tcW w:type="dxa" w:w="1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N/A</w:t>
            </w:r>
          </w:p>
        </w:tc>
      </w:tr>
      <w:tr>
        <w:tc>
          <w:tcPr>
            <w:tcW w:type="dxa" w:w="20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AI model change</w:t>
            </w:r>
            <w:r>
              <w:rPr>
                <w:rFonts w:ascii="Arial" w:cs="Arial" w:eastAsia="Arial" w:hAnsi="Arial"/>
                <w:color w:val="2D2D2D"/>
                <w:sz w:val="20"/>
                <w:szCs w:val="20"/>
              </w:rPr>
              <w:t xml:space="preserve"/>
            </w:r>
          </w:p>
        </w:tc>
        <w:tc>
          <w:tcPr>
            <w:tcW w:type="dxa" w:w="18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30-day notice; independent re-validation</w:t>
            </w:r>
          </w:p>
        </w:tc>
        <w:tc>
          <w:tcPr>
            <w:tcW w:type="dxa" w:w="18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60-day notice; internal review</w:t>
            </w:r>
          </w:p>
        </w:tc>
        <w:tc>
          <w:tcPr>
            <w:tcW w:type="dxa" w:w="18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Annual disclosure</w:t>
            </w:r>
          </w:p>
        </w:tc>
        <w:tc>
          <w:tcPr>
            <w:tcW w:type="dxa" w:w="196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N/A</w:t>
            </w:r>
          </w:p>
        </w:tc>
      </w:tr>
      <w:tr>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Automated risk triggers</w:t>
            </w:r>
            <w:r>
              <w:rPr>
                <w:rFonts w:ascii="Arial" w:cs="Arial" w:eastAsia="Arial" w:hAnsi="Arial"/>
                <w:color w:val="2D2D2D"/>
                <w:sz w:val="20"/>
                <w:szCs w:val="20"/>
              </w:rPr>
              <w:t xml:space="preserve"/>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Continuous: OFAC, adverse news, dark web, financial</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Continuous: sanctions + adverse news</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Quarterly sanctions + news</w:t>
            </w:r>
          </w:p>
        </w:tc>
        <w:tc>
          <w:tcPr>
            <w:tcW w:type="dxa" w:w="1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Annual sanctions screening</w:t>
            </w:r>
          </w:p>
        </w:tc>
      </w:tr>
    </w:tbl>
    <w:p>
      <w:pPr>
        <w:pStyle w:val="Heading2"/>
        <w:spacing w:before="300" w:after="120"/>
      </w:pPr>
      <w:r>
        <w:rPr>
          <w:rFonts w:ascii="Arial" w:cs="Arial" w:eastAsia="Arial" w:hAnsi="Arial"/>
          <w:b/>
          <w:bCs/>
          <w:color w:val="2C5F8A"/>
          <w:sz w:val="28"/>
          <w:szCs w:val="28"/>
        </w:rPr>
        <w:t xml:space="preserve">12.8 Stage 6 Continued: Termination Management</w:t>
      </w:r>
    </w:p>
    <w:p>
      <w:pPr>
        <w:pStyle w:val="ListParagraph"/>
        <w:numPr>
          <w:ilvl w:val="0"/>
          <w:numId w:val="2"/>
        </w:numPr>
        <w:spacing w:after="60"/>
      </w:pPr>
      <w:r>
        <w:rPr>
          <w:rFonts w:ascii="Arial" w:cs="Arial" w:eastAsia="Arial" w:hAnsi="Arial"/>
          <w:color w:val="2D2D2D"/>
          <w:sz w:val="22"/>
          <w:szCs w:val="22"/>
        </w:rPr>
        <w:t xml:space="preserve"/>
      </w:r>
      <w:r>
        <w:rPr>
          <w:rFonts w:ascii="Arial" w:cs="Arial" w:eastAsia="Arial" w:hAnsi="Arial"/>
          <w:b/>
          <w:bCs/>
          <w:color w:val="2D2D2D"/>
          <w:sz w:val="22"/>
          <w:szCs w:val="22"/>
        </w:rPr>
        <w:t xml:space="preserve">Planned termination:</w:t>
      </w:r>
      <w:r>
        <w:rPr>
          <w:rFonts w:ascii="Arial" w:cs="Arial" w:eastAsia="Arial" w:hAnsi="Arial"/>
          <w:color w:val="2D2D2D"/>
          <w:sz w:val="22"/>
          <w:szCs w:val="22"/>
        </w:rPr>
        <w:t xml:space="preserve"> Transition plan initiated 180 days before contract end; data return/deletion enforced per MSA; all vendor access deprovisioned within 24 hours; CMDB and Registry updated.</w:t>
      </w:r>
    </w:p>
    <w:p>
      <w:pPr>
        <w:pStyle w:val="ListParagraph"/>
        <w:numPr>
          <w:ilvl w:val="0"/>
          <w:numId w:val="2"/>
        </w:numPr>
        <w:spacing w:after="60"/>
      </w:pPr>
      <w:r>
        <w:rPr>
          <w:rFonts w:ascii="Arial" w:cs="Arial" w:eastAsia="Arial" w:hAnsi="Arial"/>
          <w:color w:val="2D2D2D"/>
          <w:sz w:val="22"/>
          <w:szCs w:val="22"/>
        </w:rPr>
        <w:t xml:space="preserve"/>
      </w:r>
      <w:r>
        <w:rPr>
          <w:rFonts w:ascii="Arial" w:cs="Arial" w:eastAsia="Arial" w:hAnsi="Arial"/>
          <w:b/>
          <w:bCs/>
          <w:color w:val="2D2D2D"/>
          <w:sz w:val="22"/>
          <w:szCs w:val="22"/>
        </w:rPr>
        <w:t xml:space="preserve">Unplanned termination:</w:t>
      </w:r>
      <w:r>
        <w:rPr>
          <w:rFonts w:ascii="Arial" w:cs="Arial" w:eastAsia="Arial" w:hAnsi="Arial"/>
          <w:color w:val="2D2D2D"/>
          <w:sz w:val="22"/>
          <w:szCs w:val="22"/>
        </w:rPr>
        <w:t xml:space="preserve"> BCP activated; pre-qualified alternative vendor list consulted; 90-day minimum transition assistance per MSA.</w:t>
      </w:r>
    </w:p>
    <w:p>
      <w:pPr>
        <w:pStyle w:val="ListParagraph"/>
        <w:numPr>
          <w:ilvl w:val="0"/>
          <w:numId w:val="2"/>
        </w:numPr>
        <w:spacing w:after="60"/>
      </w:pPr>
      <w:r>
        <w:rPr>
          <w:rFonts w:ascii="Arial" w:cs="Arial" w:eastAsia="Arial" w:hAnsi="Arial"/>
          <w:color w:val="2D2D2D"/>
          <w:sz w:val="22"/>
          <w:szCs w:val="22"/>
        </w:rPr>
        <w:t xml:space="preserve"/>
      </w:r>
      <w:r>
        <w:rPr>
          <w:rFonts w:ascii="Arial" w:cs="Arial" w:eastAsia="Arial" w:hAnsi="Arial"/>
          <w:b/>
          <w:bCs/>
          <w:color w:val="2D2D2D"/>
          <w:sz w:val="22"/>
          <w:szCs w:val="22"/>
        </w:rPr>
        <w:t xml:space="preserve">Post-termination verification:</w:t>
      </w:r>
      <w:r>
        <w:rPr>
          <w:rFonts w:ascii="Arial" w:cs="Arial" w:eastAsia="Arial" w:hAnsi="Arial"/>
          <w:color w:val="2D2D2D"/>
          <w:sz w:val="22"/>
          <w:szCs w:val="22"/>
        </w:rPr>
        <w:t xml:space="preserve"> Data deletion certificate obtained; TPRM Register archived with lessons learned; Internal Audit notified for Tier 1/2.</w:t>
      </w:r>
    </w:p>
    <w:p>
      <w:pPr>
        <w:pStyle w:val="ListParagraph"/>
        <w:numPr>
          <w:ilvl w:val="0"/>
          <w:numId w:val="2"/>
        </w:numPr>
        <w:spacing w:after="60"/>
      </w:pPr>
      <w:r>
        <w:rPr>
          <w:rFonts w:ascii="Arial" w:cs="Arial" w:eastAsia="Arial" w:hAnsi="Arial"/>
          <w:color w:val="2D2D2D"/>
          <w:sz w:val="22"/>
          <w:szCs w:val="22"/>
        </w:rPr>
        <w:t xml:space="preserve"/>
      </w:r>
      <w:r>
        <w:rPr>
          <w:rFonts w:ascii="Arial" w:cs="Arial" w:eastAsia="Arial" w:hAnsi="Arial"/>
          <w:b/>
          <w:bCs/>
          <w:color w:val="2D2D2D"/>
          <w:sz w:val="22"/>
          <w:szCs w:val="22"/>
        </w:rPr>
        <w:t xml:space="preserve">Concentration risk re-assessment:</w:t>
      </w:r>
      <w:r>
        <w:rPr>
          <w:rFonts w:ascii="Arial" w:cs="Arial" w:eastAsia="Arial" w:hAnsi="Arial"/>
          <w:color w:val="2D2D2D"/>
          <w:sz w:val="22"/>
          <w:szCs w:val="22"/>
        </w:rPr>
        <w:t xml:space="preserve"> Following Tier 1 termination, institution updates concentration risk map. Knowledge Staging Agent archives all termination rationale and lessons learned to deterministic knowledge base.</w:t>
      </w:r>
    </w:p>
    <w:p>
      <w:r>
        <w:br w:type="page"/>
      </w:r>
    </w:p>
    <w:p>
      <w:pPr>
        <w:pStyle w:val="Heading1"/>
      </w:pPr>
      <w:r>
        <w:rPr>
          <w:rFonts w:ascii="Arial" w:cs="Arial" w:eastAsia="Arial" w:hAnsi="Arial"/>
          <w:b/>
          <w:bCs/>
          <w:color w:val="1B3A5C"/>
          <w:sz w:val="36"/>
          <w:szCs w:val="36"/>
        </w:rPr>
        <w:t xml:space="preserve">13. Phase 6: Post-Deployment Observability, Telemetry, and Audit Governance</w:t>
      </w:r>
    </w:p>
    <w:p>
      <w:pPr>
        <w:pBdr>
          <w:bottom w:val="single" w:color="1B3A5C" w:sz="6"/>
        </w:pBdr>
        <w:spacing w:before="300"/>
      </w:pPr>
    </w:p>
    <w:p>
      <w:pPr>
        <w:shd w:fill="1B3A5C" w:val="clear"/>
        <w:spacing w:before="120" w:after="60"/>
        <w:ind w:left="120" w:right="120"/>
      </w:pPr>
      <w:r>
        <w:rPr>
          <w:rFonts w:ascii="Arial" w:cs="Arial" w:eastAsia="Arial" w:hAnsi="Arial"/>
          <w:b/>
          <w:bCs/>
          <w:color w:val="FFFFFF"/>
          <w:sz w:val="24"/>
          <w:szCs w:val="24"/>
        </w:rPr>
        <w:t xml:space="preserve">P6  </w:t>
      </w:r>
      <w:r>
        <w:rPr>
          <w:rFonts w:ascii="Arial" w:cs="Arial" w:eastAsia="Arial" w:hAnsi="Arial"/>
          <w:b/>
          <w:bCs/>
          <w:color w:val="FFFFFF"/>
          <w:sz w:val="24"/>
          <w:szCs w:val="24"/>
        </w:rPr>
        <w:t xml:space="preserve">Post-Deployment Observability and Audit Governance</w:t>
      </w:r>
    </w:p>
    <w:p>
      <w:pPr>
        <w:shd w:fill="E8F4FD" w:val="clear"/>
        <w:spacing w:after="200"/>
        <w:ind w:left="120" w:right="120"/>
      </w:pPr>
      <w:r>
        <w:rPr>
          <w:rFonts w:ascii="Arial" w:cs="Arial" w:eastAsia="Arial" w:hAnsi="Arial"/>
          <w:i/>
          <w:iCs/>
          <w:color w:val="2D2D2D"/>
          <w:sz w:val="20"/>
          <w:szCs w:val="20"/>
        </w:rPr>
        <w:t xml:space="preserve">Continuous. Designed in Phase 5A. Activated at Go-to-Market. Required by SR 11-7, SEC, and FINRA.</w:t>
      </w:r>
    </w:p>
    <w:p>
      <w:pPr>
        <w:pStyle w:val="Heading2"/>
        <w:spacing w:before="300" w:after="120"/>
      </w:pPr>
      <w:r>
        <w:rPr>
          <w:rFonts w:ascii="Arial" w:cs="Arial" w:eastAsia="Arial" w:hAnsi="Arial"/>
          <w:b/>
          <w:bCs/>
          <w:color w:val="2C5F8A"/>
          <w:sz w:val="28"/>
          <w:szCs w:val="28"/>
        </w:rPr>
        <w:t xml:space="preserve">13.1 Regulatory Imperative</w:t>
      </w:r>
    </w:p>
    <w:p>
      <w:pPr>
        <w:spacing w:after="120"/>
      </w:pPr>
      <w:r>
        <w:rPr>
          <w:rFonts w:ascii="Arial" w:cs="Arial" w:eastAsia="Arial" w:hAnsi="Arial"/>
          <w:color w:val="2D2D2D"/>
          <w:sz w:val="22"/>
          <w:szCs w:val="22"/>
        </w:rPr>
        <w:t xml:space="preserve">The SEC Cybersecurity Disclosure Rule (2023), SR 11-7, FINRA Rule 4511, and SEC Rule 17a-4 collectively require comprehensive, structured, and retrievable audit trails for all material decisions—including those augmented by AI or agents. These requirements must be designed into systems before deployment.</w:t>
      </w:r>
    </w:p>
    <w:p>
      <w:pPr>
        <w:pStyle w:val="Heading2"/>
        <w:spacing w:before="300" w:after="120"/>
      </w:pPr>
      <w:r>
        <w:rPr>
          <w:rFonts w:ascii="Arial" w:cs="Arial" w:eastAsia="Arial" w:hAnsi="Arial"/>
          <w:b/>
          <w:bCs/>
          <w:color w:val="2C5F8A"/>
          <w:sz w:val="28"/>
          <w:szCs w:val="28"/>
        </w:rPr>
        <w:t xml:space="preserve">13.2 Mandatory Observability Event Schema</w:t>
      </w:r>
    </w:p>
    <w:p>
      <w:pPr>
        <w:spacing w:after="120"/>
      </w:pPr>
      <w:r>
        <w:rPr>
          <w:rFonts w:ascii="Arial" w:cs="Arial" w:eastAsia="Arial" w:hAnsi="Arial"/>
          <w:color w:val="2D2D2D"/>
          <w:sz w:val="22"/>
          <w:szCs w:val="22"/>
        </w:rPr>
        <w:t xml:space="preserve">Every AI-assisted, agent-enabled, or automated decision must generate an immutable event record written to an append-only audit log. Task type: </w:t>
      </w:r>
      <w:r>
        <w:rPr>
          <w:rFonts w:ascii="Arial" w:cs="Arial" w:eastAsia="Arial" w:hAnsi="Arial"/>
          <w:b/>
          <w:bCs/>
          <w:color w:val="2D2D2D"/>
          <w:sz w:val="22"/>
          <w:szCs w:val="22"/>
        </w:rPr>
        <w:t xml:space="preserve">Automated (A)</w:t>
      </w:r>
      <w:r>
        <w:rPr>
          <w:rFonts w:ascii="Arial" w:cs="Arial" w:eastAsia="Arial" w:hAnsi="Arial"/>
          <w:color w:val="2D2D2D"/>
          <w:sz w:val="22"/>
          <w:szCs w:val="22"/>
        </w:rPr>
        <w:t xml:space="preserve">.</w:t>
      </w:r>
    </w:p>
    <w:p>
      <w:pPr>
        <w:pStyle w:val="ListParagraph"/>
        <w:numPr>
          <w:ilvl w:val="0"/>
          <w:numId w:val="2"/>
        </w:numPr>
        <w:spacing w:after="60"/>
      </w:pPr>
      <w:r>
        <w:rPr>
          <w:rFonts w:ascii="Arial" w:cs="Arial" w:eastAsia="Arial" w:hAnsi="Arial"/>
          <w:color w:val="2D2D2D"/>
          <w:sz w:val="22"/>
          <w:szCs w:val="22"/>
        </w:rPr>
        <w:t xml:space="preserve"/>
      </w:r>
      <w:r>
        <w:rPr>
          <w:rFonts w:ascii="Arial" w:cs="Arial" w:eastAsia="Arial" w:hAnsi="Arial"/>
          <w:b/>
          <w:bCs/>
          <w:color w:val="2D2D2D"/>
          <w:sz w:val="22"/>
          <w:szCs w:val="22"/>
        </w:rPr>
        <w:t xml:space="preserve">decision_id (UUID):</w:t>
      </w:r>
      <w:r>
        <w:rPr>
          <w:rFonts w:ascii="Arial" w:cs="Arial" w:eastAsia="Arial" w:hAnsi="Arial"/>
          <w:color w:val="2D2D2D"/>
          <w:sz w:val="22"/>
          <w:szCs w:val="22"/>
        </w:rPr>
        <w:t xml:space="preserve"> Globally unique identifier. Primary correlation key for audit lookups.</w:t>
      </w:r>
    </w:p>
    <w:p>
      <w:pPr>
        <w:pStyle w:val="ListParagraph"/>
        <w:numPr>
          <w:ilvl w:val="0"/>
          <w:numId w:val="2"/>
        </w:numPr>
        <w:spacing w:after="60"/>
      </w:pPr>
      <w:r>
        <w:rPr>
          <w:rFonts w:ascii="Arial" w:cs="Arial" w:eastAsia="Arial" w:hAnsi="Arial"/>
          <w:color w:val="2D2D2D"/>
          <w:sz w:val="22"/>
          <w:szCs w:val="22"/>
        </w:rPr>
        <w:t xml:space="preserve"/>
      </w:r>
      <w:r>
        <w:rPr>
          <w:rFonts w:ascii="Arial" w:cs="Arial" w:eastAsia="Arial" w:hAnsi="Arial"/>
          <w:b/>
          <w:bCs/>
          <w:color w:val="2D2D2D"/>
          <w:sz w:val="22"/>
          <w:szCs w:val="22"/>
        </w:rPr>
        <w:t xml:space="preserve">request_id:</w:t>
      </w:r>
      <w:r>
        <w:rPr>
          <w:rFonts w:ascii="Arial" w:cs="Arial" w:eastAsia="Arial" w:hAnsi="Arial"/>
          <w:color w:val="2D2D2D"/>
          <w:sz w:val="22"/>
          <w:szCs w:val="22"/>
        </w:rPr>
        <w:t xml:space="preserve"> Correlation to originating intake request; full lifecycle trace.</w:t>
      </w:r>
    </w:p>
    <w:p>
      <w:pPr>
        <w:pStyle w:val="ListParagraph"/>
        <w:numPr>
          <w:ilvl w:val="0"/>
          <w:numId w:val="2"/>
        </w:numPr>
        <w:spacing w:after="60"/>
      </w:pPr>
      <w:r>
        <w:rPr>
          <w:rFonts w:ascii="Arial" w:cs="Arial" w:eastAsia="Arial" w:hAnsi="Arial"/>
          <w:color w:val="2D2D2D"/>
          <w:sz w:val="22"/>
          <w:szCs w:val="22"/>
        </w:rPr>
        <w:t xml:space="preserve"/>
      </w:r>
      <w:r>
        <w:rPr>
          <w:rFonts w:ascii="Arial" w:cs="Arial" w:eastAsia="Arial" w:hAnsi="Arial"/>
          <w:b/>
          <w:bCs/>
          <w:color w:val="2D2D2D"/>
          <w:sz w:val="22"/>
          <w:szCs w:val="22"/>
        </w:rPr>
        <w:t xml:space="preserve">process_phase:</w:t>
      </w:r>
      <w:r>
        <w:rPr>
          <w:rFonts w:ascii="Arial" w:cs="Arial" w:eastAsia="Arial" w:hAnsi="Arial"/>
          <w:color w:val="2D2D2D"/>
          <w:sz w:val="22"/>
          <w:szCs w:val="22"/>
        </w:rPr>
        <w:t xml:space="preserve"> Enumerated value (Phase 0–6).</w:t>
      </w:r>
    </w:p>
    <w:p>
      <w:pPr>
        <w:pStyle w:val="ListParagraph"/>
        <w:numPr>
          <w:ilvl w:val="0"/>
          <w:numId w:val="2"/>
        </w:numPr>
        <w:spacing w:after="60"/>
      </w:pPr>
      <w:r>
        <w:rPr>
          <w:rFonts w:ascii="Arial" w:cs="Arial" w:eastAsia="Arial" w:hAnsi="Arial"/>
          <w:color w:val="2D2D2D"/>
          <w:sz w:val="22"/>
          <w:szCs w:val="22"/>
        </w:rPr>
        <w:t xml:space="preserve"/>
      </w:r>
      <w:r>
        <w:rPr>
          <w:rFonts w:ascii="Arial" w:cs="Arial" w:eastAsia="Arial" w:hAnsi="Arial"/>
          <w:b/>
          <w:bCs/>
          <w:color w:val="2D2D2D"/>
          <w:sz w:val="22"/>
          <w:szCs w:val="22"/>
        </w:rPr>
        <w:t xml:space="preserve">decision_type:</w:t>
      </w:r>
      <w:r>
        <w:rPr>
          <w:rFonts w:ascii="Arial" w:cs="Arial" w:eastAsia="Arial" w:hAnsi="Arial"/>
          <w:color w:val="2D2D2D"/>
          <w:sz w:val="22"/>
          <w:szCs w:val="22"/>
        </w:rPr>
        <w:t xml:space="preserve"> DMN_RULE | AGENT_CLASSIFICATION | HUMAN_OVERRIDE | AUTOMATED_TRIGGER.</w:t>
      </w:r>
    </w:p>
    <w:p>
      <w:pPr>
        <w:pStyle w:val="ListParagraph"/>
        <w:numPr>
          <w:ilvl w:val="0"/>
          <w:numId w:val="2"/>
        </w:numPr>
        <w:spacing w:after="60"/>
      </w:pPr>
      <w:r>
        <w:rPr>
          <w:rFonts w:ascii="Arial" w:cs="Arial" w:eastAsia="Arial" w:hAnsi="Arial"/>
          <w:color w:val="2D2D2D"/>
          <w:sz w:val="22"/>
          <w:szCs w:val="22"/>
        </w:rPr>
        <w:t xml:space="preserve"/>
      </w:r>
      <w:r>
        <w:rPr>
          <w:rFonts w:ascii="Arial" w:cs="Arial" w:eastAsia="Arial" w:hAnsi="Arial"/>
          <w:b/>
          <w:bCs/>
          <w:color w:val="2D2D2D"/>
          <w:sz w:val="22"/>
          <w:szCs w:val="22"/>
        </w:rPr>
        <w:t xml:space="preserve">rule_id or model_version:</w:t>
      </w:r>
      <w:r>
        <w:rPr>
          <w:rFonts w:ascii="Arial" w:cs="Arial" w:eastAsia="Arial" w:hAnsi="Arial"/>
          <w:color w:val="2D2D2D"/>
          <w:sz w:val="22"/>
          <w:szCs w:val="22"/>
        </w:rPr>
        <w:t xml:space="preserve"> Specific DMN rule ID or AI model version and build hash.</w:t>
      </w:r>
    </w:p>
    <w:p>
      <w:pPr>
        <w:pStyle w:val="ListParagraph"/>
        <w:numPr>
          <w:ilvl w:val="0"/>
          <w:numId w:val="2"/>
        </w:numPr>
        <w:spacing w:after="60"/>
      </w:pPr>
      <w:r>
        <w:rPr>
          <w:rFonts w:ascii="Arial" w:cs="Arial" w:eastAsia="Arial" w:hAnsi="Arial"/>
          <w:color w:val="2D2D2D"/>
          <w:sz w:val="22"/>
          <w:szCs w:val="22"/>
        </w:rPr>
        <w:t xml:space="preserve"/>
      </w:r>
      <w:r>
        <w:rPr>
          <w:rFonts w:ascii="Arial" w:cs="Arial" w:eastAsia="Arial" w:hAnsi="Arial"/>
          <w:b/>
          <w:bCs/>
          <w:color w:val="2D2D2D"/>
          <w:sz w:val="22"/>
          <w:szCs w:val="22"/>
        </w:rPr>
        <w:t xml:space="preserve">knowledge_base_version:</w:t>
      </w:r>
      <w:r>
        <w:rPr>
          <w:rFonts w:ascii="Arial" w:cs="Arial" w:eastAsia="Arial" w:hAnsi="Arial"/>
          <w:color w:val="2D2D2D"/>
          <w:sz w:val="22"/>
          <w:szCs w:val="22"/>
        </w:rPr>
        <w:t xml:space="preserve"> Version of the deterministic knowledge base used by agent (if applicable).</w:t>
      </w:r>
    </w:p>
    <w:p>
      <w:pPr>
        <w:pStyle w:val="ListParagraph"/>
        <w:numPr>
          <w:ilvl w:val="0"/>
          <w:numId w:val="2"/>
        </w:numPr>
        <w:spacing w:after="60"/>
      </w:pPr>
      <w:r>
        <w:rPr>
          <w:rFonts w:ascii="Arial" w:cs="Arial" w:eastAsia="Arial" w:hAnsi="Arial"/>
          <w:color w:val="2D2D2D"/>
          <w:sz w:val="22"/>
          <w:szCs w:val="22"/>
        </w:rPr>
        <w:t xml:space="preserve"/>
      </w:r>
      <w:r>
        <w:rPr>
          <w:rFonts w:ascii="Arial" w:cs="Arial" w:eastAsia="Arial" w:hAnsi="Arial"/>
          <w:b/>
          <w:bCs/>
          <w:color w:val="2D2D2D"/>
          <w:sz w:val="22"/>
          <w:szCs w:val="22"/>
        </w:rPr>
        <w:t xml:space="preserve">input_hash (SHA-256):</w:t>
      </w:r>
      <w:r>
        <w:rPr>
          <w:rFonts w:ascii="Arial" w:cs="Arial" w:eastAsia="Arial" w:hAnsi="Arial"/>
          <w:color w:val="2D2D2D"/>
          <w:sz w:val="22"/>
          <w:szCs w:val="22"/>
        </w:rPr>
        <w:t xml:space="preserve"> Cryptographic hash of full input payload—tamper detection.</w:t>
      </w:r>
    </w:p>
    <w:p>
      <w:pPr>
        <w:pStyle w:val="ListParagraph"/>
        <w:numPr>
          <w:ilvl w:val="0"/>
          <w:numId w:val="2"/>
        </w:numPr>
        <w:spacing w:after="60"/>
      </w:pPr>
      <w:r>
        <w:rPr>
          <w:rFonts w:ascii="Arial" w:cs="Arial" w:eastAsia="Arial" w:hAnsi="Arial"/>
          <w:color w:val="2D2D2D"/>
          <w:sz w:val="22"/>
          <w:szCs w:val="22"/>
        </w:rPr>
        <w:t xml:space="preserve"/>
      </w:r>
      <w:r>
        <w:rPr>
          <w:rFonts w:ascii="Arial" w:cs="Arial" w:eastAsia="Arial" w:hAnsi="Arial"/>
          <w:b/>
          <w:bCs/>
          <w:color w:val="2D2D2D"/>
          <w:sz w:val="22"/>
          <w:szCs w:val="22"/>
        </w:rPr>
        <w:t xml:space="preserve">output:</w:t>
      </w:r>
      <w:r>
        <w:rPr>
          <w:rFonts w:ascii="Arial" w:cs="Arial" w:eastAsia="Arial" w:hAnsi="Arial"/>
          <w:color w:val="2D2D2D"/>
          <w:sz w:val="22"/>
          <w:szCs w:val="22"/>
        </w:rPr>
        <w:t xml:space="preserve"> Decision outcome (pathway, score, routing, approval, rejection, escalation).</w:t>
      </w:r>
    </w:p>
    <w:p>
      <w:pPr>
        <w:pStyle w:val="ListParagraph"/>
        <w:numPr>
          <w:ilvl w:val="0"/>
          <w:numId w:val="2"/>
        </w:numPr>
        <w:spacing w:after="60"/>
      </w:pPr>
      <w:r>
        <w:rPr>
          <w:rFonts w:ascii="Arial" w:cs="Arial" w:eastAsia="Arial" w:hAnsi="Arial"/>
          <w:color w:val="2D2D2D"/>
          <w:sz w:val="22"/>
          <w:szCs w:val="22"/>
        </w:rPr>
        <w:t xml:space="preserve"/>
      </w:r>
      <w:r>
        <w:rPr>
          <w:rFonts w:ascii="Arial" w:cs="Arial" w:eastAsia="Arial" w:hAnsi="Arial"/>
          <w:b/>
          <w:bCs/>
          <w:color w:val="2D2D2D"/>
          <w:sz w:val="22"/>
          <w:szCs w:val="22"/>
        </w:rPr>
        <w:t xml:space="preserve">confidence_score:</w:t>
      </w:r>
      <w:r>
        <w:rPr>
          <w:rFonts w:ascii="Arial" w:cs="Arial" w:eastAsia="Arial" w:hAnsi="Arial"/>
          <w:color w:val="2D2D2D"/>
          <w:sz w:val="22"/>
          <w:szCs w:val="22"/>
        </w:rPr>
        <w:t xml:space="preserve"> For agent-based decisions (0–100%); N/A for deterministic DMN.</w:t>
      </w:r>
    </w:p>
    <w:p>
      <w:pPr>
        <w:pStyle w:val="ListParagraph"/>
        <w:numPr>
          <w:ilvl w:val="0"/>
          <w:numId w:val="2"/>
        </w:numPr>
        <w:spacing w:after="60"/>
      </w:pPr>
      <w:r>
        <w:rPr>
          <w:rFonts w:ascii="Arial" w:cs="Arial" w:eastAsia="Arial" w:hAnsi="Arial"/>
          <w:color w:val="2D2D2D"/>
          <w:sz w:val="22"/>
          <w:szCs w:val="22"/>
        </w:rPr>
        <w:t xml:space="preserve"/>
      </w:r>
      <w:r>
        <w:rPr>
          <w:rFonts w:ascii="Arial" w:cs="Arial" w:eastAsia="Arial" w:hAnsi="Arial"/>
          <w:b/>
          <w:bCs/>
          <w:color w:val="2D2D2D"/>
          <w:sz w:val="22"/>
          <w:szCs w:val="22"/>
        </w:rPr>
        <w:t xml:space="preserve">human_reviewer_role:</w:t>
      </w:r>
      <w:r>
        <w:rPr>
          <w:rFonts w:ascii="Arial" w:cs="Arial" w:eastAsia="Arial" w:hAnsi="Arial"/>
          <w:color w:val="2D2D2D"/>
          <w:sz w:val="22"/>
          <w:szCs w:val="22"/>
        </w:rPr>
        <w:t xml:space="preserve"> If human override—reviewer role (not identity); rationale (min 50 characters).</w:t>
      </w:r>
    </w:p>
    <w:p>
      <w:pPr>
        <w:pStyle w:val="ListParagraph"/>
        <w:numPr>
          <w:ilvl w:val="0"/>
          <w:numId w:val="2"/>
        </w:numPr>
        <w:spacing w:after="60"/>
      </w:pPr>
      <w:r>
        <w:rPr>
          <w:rFonts w:ascii="Arial" w:cs="Arial" w:eastAsia="Arial" w:hAnsi="Arial"/>
          <w:color w:val="2D2D2D"/>
          <w:sz w:val="22"/>
          <w:szCs w:val="22"/>
        </w:rPr>
        <w:t xml:space="preserve"/>
      </w:r>
      <w:r>
        <w:rPr>
          <w:rFonts w:ascii="Arial" w:cs="Arial" w:eastAsia="Arial" w:hAnsi="Arial"/>
          <w:b/>
          <w:bCs/>
          <w:color w:val="2D2D2D"/>
          <w:sz w:val="22"/>
          <w:szCs w:val="22"/>
        </w:rPr>
        <w:t xml:space="preserve">timestamp_utc (ISO 8601):</w:t>
      </w:r>
      <w:r>
        <w:rPr>
          <w:rFonts w:ascii="Arial" w:cs="Arial" w:eastAsia="Arial" w:hAnsi="Arial"/>
          <w:color w:val="2D2D2D"/>
          <w:sz w:val="22"/>
          <w:szCs w:val="22"/>
        </w:rPr>
        <w:t xml:space="preserve"> Millisecond resolution.</w:t>
      </w:r>
    </w:p>
    <w:p>
      <w:pPr>
        <w:pStyle w:val="ListParagraph"/>
        <w:numPr>
          <w:ilvl w:val="0"/>
          <w:numId w:val="2"/>
        </w:numPr>
        <w:spacing w:after="60"/>
      </w:pPr>
      <w:r>
        <w:rPr>
          <w:rFonts w:ascii="Arial" w:cs="Arial" w:eastAsia="Arial" w:hAnsi="Arial"/>
          <w:color w:val="2D2D2D"/>
          <w:sz w:val="22"/>
          <w:szCs w:val="22"/>
        </w:rPr>
        <w:t xml:space="preserve"/>
      </w:r>
      <w:r>
        <w:rPr>
          <w:rFonts w:ascii="Arial" w:cs="Arial" w:eastAsia="Arial" w:hAnsi="Arial"/>
          <w:b/>
          <w:bCs/>
          <w:color w:val="2D2D2D"/>
          <w:sz w:val="22"/>
          <w:szCs w:val="22"/>
        </w:rPr>
        <w:t xml:space="preserve">session_id:</w:t>
      </w:r>
      <w:r>
        <w:rPr>
          <w:rFonts w:ascii="Arial" w:cs="Arial" w:eastAsia="Arial" w:hAnsi="Arial"/>
          <w:color w:val="2D2D2D"/>
          <w:sz w:val="22"/>
          <w:szCs w:val="22"/>
        </w:rPr>
        <w:t xml:space="preserve"> Intake session correlation for multi-step chains.</w:t>
      </w:r>
    </w:p>
    <w:p>
      <w:pPr>
        <w:spacing w:after="120"/>
      </w:pPr>
      <w:r>
        <w:rPr>
          <w:rFonts w:ascii="Arial" w:cs="Arial" w:eastAsia="Arial" w:hAnsi="Arial"/>
          <w:color w:val="2D2D2D"/>
          <w:sz w:val="22"/>
          <w:szCs w:val="22"/>
        </w:rPr>
        <w:t xml:space="preserve"/>
      </w:r>
      <w:r>
        <w:rPr>
          <w:rFonts w:ascii="Arial" w:cs="Arial" w:eastAsia="Arial" w:hAnsi="Arial"/>
          <w:b/>
          <w:bCs/>
          <w:color w:val="2D2D2D"/>
          <w:sz w:val="22"/>
          <w:szCs w:val="22"/>
        </w:rPr>
        <w:t xml:space="preserve">Data Retention:</w:t>
      </w:r>
      <w:r>
        <w:rPr>
          <w:rFonts w:ascii="Arial" w:cs="Arial" w:eastAsia="Arial" w:hAnsi="Arial"/>
          <w:color w:val="2D2D2D"/>
          <w:sz w:val="22"/>
          <w:szCs w:val="22"/>
        </w:rPr>
        <w:t xml:space="preserve"> Regulated financial decisions: 7 years minimum (FINRA 4511; SEC 17a-4). Operational decisions: 3 years minimum; 7 years if subject to regulatory examination. All logs in WORM-compliant storage.</w:t>
      </w:r>
    </w:p>
    <w:p>
      <w:pPr>
        <w:pStyle w:val="Heading2"/>
        <w:spacing w:before="300" w:after="120"/>
      </w:pPr>
      <w:r>
        <w:rPr>
          <w:rFonts w:ascii="Arial" w:cs="Arial" w:eastAsia="Arial" w:hAnsi="Arial"/>
          <w:b/>
          <w:bCs/>
          <w:color w:val="2C5F8A"/>
          <w:sz w:val="28"/>
          <w:szCs w:val="28"/>
        </w:rPr>
        <w:t xml:space="preserve">13.3 AI Model Monitoring Requirements (SR 11-7)</w:t>
      </w:r>
    </w:p>
    <w:p>
      <w:pPr>
        <w:spacing w:after="120"/>
      </w:pPr>
      <w:r>
        <w:rPr>
          <w:rFonts w:ascii="Arial" w:cs="Arial" w:eastAsia="Arial" w:hAnsi="Arial"/>
          <w:color w:val="2D2D2D"/>
          <w:sz w:val="22"/>
          <w:szCs w:val="22"/>
        </w:rPr>
        <w:t xml:space="preserve">Task type: </w:t>
      </w:r>
      <w:r>
        <w:rPr>
          <w:rFonts w:ascii="Arial" w:cs="Arial" w:eastAsia="Arial" w:hAnsi="Arial"/>
          <w:b/>
          <w:bCs/>
          <w:color w:val="2D2D2D"/>
          <w:sz w:val="22"/>
          <w:szCs w:val="22"/>
        </w:rPr>
        <w:t xml:space="preserve">Automated (A)</w:t>
      </w:r>
      <w:r>
        <w:rPr>
          <w:rFonts w:ascii="Arial" w:cs="Arial" w:eastAsia="Arial" w:hAnsi="Arial"/>
          <w:color w:val="2D2D2D"/>
          <w:sz w:val="22"/>
          <w:szCs w:val="22"/>
        </w:rPr>
        <w:t xml:space="preserve"> for monitoring; </w:t>
      </w:r>
      <w:r>
        <w:rPr>
          <w:rFonts w:ascii="Arial" w:cs="Arial" w:eastAsia="Arial" w:hAnsi="Arial"/>
          <w:b/>
          <w:bCs/>
          <w:color w:val="2D2D2D"/>
          <w:sz w:val="22"/>
          <w:szCs w:val="22"/>
        </w:rPr>
        <w:t xml:space="preserve">Human-in-the-Loop (H)</w:t>
      </w:r>
      <w:r>
        <w:rPr>
          <w:rFonts w:ascii="Arial" w:cs="Arial" w:eastAsia="Arial" w:hAnsi="Arial"/>
          <w:color w:val="2D2D2D"/>
          <w:sz w:val="22"/>
          <w:szCs w:val="22"/>
        </w:rPr>
        <w:t xml:space="preserve"> for escalation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200"/>
        <w:gridCol w:w="1500"/>
        <w:gridCol w:w="2660"/>
      </w:tblGrid>
      <w:tr>
        <w:tc>
          <w:tcPr>
            <w:tcW w:type="dxa" w:w="180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220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120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Frequency</w:t>
            </w:r>
          </w:p>
        </w:tc>
        <w:tc>
          <w:tcPr>
            <w:tcW w:type="dxa" w:w="150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Alert Threshold</w:t>
            </w:r>
          </w:p>
        </w:tc>
        <w:tc>
          <w:tcPr>
            <w:tcW w:type="dxa" w:w="266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Escalation</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Input distribution drift</w:t>
            </w:r>
            <w:r>
              <w:rPr>
                <w:rFonts w:ascii="Arial" w:cs="Arial" w:eastAsia="Arial" w:hAnsi="Arial"/>
                <w:color w:val="2D2D2D"/>
                <w:sz w:val="20"/>
                <w:szCs w:val="20"/>
              </w:rPr>
              <w:t xml:space="preserve"/>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Kolmogorov-Smirnov (KS) test; Population Stability Index (PSI)</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Weekly (A)</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PSI &gt; 0.20 or KS p &lt; 0.05</w:t>
            </w:r>
          </w:p>
        </w:tc>
        <w:tc>
          <w:tcPr>
            <w:tcW w:type="dxa" w:w="26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Product Owner + AI/MRM Governance; model review within 10 days</w:t>
            </w:r>
          </w:p>
        </w:tc>
      </w:tr>
      <w:tr>
        <w:tc>
          <w:tcPr>
            <w:tcW w:type="dxa" w:w="18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Output distribution drift</w:t>
            </w:r>
            <w:r>
              <w:rPr>
                <w:rFonts w:ascii="Arial" w:cs="Arial" w:eastAsia="Arial" w:hAnsi="Arial"/>
                <w:color w:val="2D2D2D"/>
                <w:sz w:val="20"/>
                <w:szCs w:val="20"/>
              </w:rPr>
              <w:t xml:space="preserve"/>
            </w:r>
          </w:p>
        </w:tc>
        <w:tc>
          <w:tcPr>
            <w:tcW w:type="dxa" w:w="22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Pathway distribution monitoring; rolling 30-day comparison</w:t>
            </w:r>
          </w:p>
        </w:tc>
        <w:tc>
          <w:tcPr>
            <w:tcW w:type="dxa" w:w="12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Weekly (A)</w:t>
            </w:r>
          </w:p>
        </w:tc>
        <w:tc>
          <w:tcPr>
            <w:tcW w:type="dxa" w:w="15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&gt;15% shift in distribution</w:t>
            </w:r>
          </w:p>
        </w:tc>
        <w:tc>
          <w:tcPr>
            <w:tcW w:type="dxa" w:w="266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AI/MRM Governance; investigation within 5 days</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Bias / fairness metrics</w:t>
            </w:r>
            <w:r>
              <w:rPr>
                <w:rFonts w:ascii="Arial" w:cs="Arial" w:eastAsia="Arial" w:hAnsi="Arial"/>
                <w:color w:val="2D2D2D"/>
                <w:sz w:val="20"/>
                <w:szCs w:val="20"/>
              </w:rPr>
              <w:t xml:space="preserve"/>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Disparate impact ratio across protected-class-correlated cohorts</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Quarterly (DA)</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Ratio outside 0.80–1.25</w:t>
            </w:r>
          </w:p>
        </w:tc>
        <w:tc>
          <w:tcPr>
            <w:tcW w:type="dxa" w:w="26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AI/MRM Governance + Compliance; corrective action within 30 days</w:t>
            </w:r>
          </w:p>
        </w:tc>
      </w:tr>
      <w:tr>
        <w:tc>
          <w:tcPr>
            <w:tcW w:type="dxa" w:w="18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GenAI / LLM hallucination</w:t>
            </w:r>
            <w:r>
              <w:rPr>
                <w:rFonts w:ascii="Arial" w:cs="Arial" w:eastAsia="Arial" w:hAnsi="Arial"/>
                <w:color w:val="2D2D2D"/>
                <w:sz w:val="20"/>
                <w:szCs w:val="20"/>
              </w:rPr>
              <w:t xml:space="preserve"/>
            </w:r>
          </w:p>
        </w:tc>
        <w:tc>
          <w:tcPr>
            <w:tcW w:type="dxa" w:w="22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Random sample review of AI-generated content</w:t>
            </w:r>
          </w:p>
        </w:tc>
        <w:tc>
          <w:tcPr>
            <w:tcW w:type="dxa" w:w="12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Monthly (H) 5% sample</w:t>
            </w:r>
          </w:p>
        </w:tc>
        <w:tc>
          <w:tcPr>
            <w:tcW w:type="dxa" w:w="15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&gt;5% factual error rate</w:t>
            </w:r>
          </w:p>
        </w:tc>
        <w:tc>
          <w:tcPr>
            <w:tcW w:type="dxa" w:w="266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Product Owner; AI/MRM Governance; model re-evaluation</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Model accuracy</w:t>
            </w:r>
            <w:r>
              <w:rPr>
                <w:rFonts w:ascii="Arial" w:cs="Arial" w:eastAsia="Arial" w:hAnsi="Arial"/>
                <w:color w:val="2D2D2D"/>
                <w:sz w:val="20"/>
                <w:szCs w:val="20"/>
              </w:rPr>
              <w:t xml:space="preserve"/>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Back-testing against validated outcomes; benchmark comparison</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Quarterly (DA)</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&gt;10% degradation from baseline</w:t>
            </w:r>
          </w:p>
        </w:tc>
        <w:tc>
          <w:tcPr>
            <w:tcW w:type="dxa" w:w="26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Independent validation triggered; model use restricted</w:t>
            </w:r>
          </w:p>
        </w:tc>
      </w:tr>
    </w:tbl>
    <w:p>
      <w:pPr>
        <w:pStyle w:val="Heading2"/>
        <w:spacing w:before="300" w:after="120"/>
      </w:pPr>
      <w:r>
        <w:rPr>
          <w:rFonts w:ascii="Arial" w:cs="Arial" w:eastAsia="Arial" w:hAnsi="Arial"/>
          <w:b/>
          <w:bCs/>
          <w:color w:val="2C5F8A"/>
          <w:sz w:val="28"/>
          <w:szCs w:val="28"/>
        </w:rPr>
        <w:t xml:space="preserve">13.4 Reporting Cadences</w:t>
      </w:r>
    </w:p>
    <w:p>
      <w:pPr>
        <w:pStyle w:val="ListParagraph"/>
        <w:numPr>
          <w:ilvl w:val="0"/>
          <w:numId w:val="2"/>
        </w:numPr>
        <w:spacing w:after="60"/>
      </w:pPr>
      <w:r>
        <w:rPr>
          <w:rFonts w:ascii="Arial" w:cs="Arial" w:eastAsia="Arial" w:hAnsi="Arial"/>
          <w:color w:val="2D2D2D"/>
          <w:sz w:val="22"/>
          <w:szCs w:val="22"/>
        </w:rPr>
        <w:t xml:space="preserve"/>
      </w:r>
      <w:r>
        <w:rPr>
          <w:rFonts w:ascii="Arial" w:cs="Arial" w:eastAsia="Arial" w:hAnsi="Arial"/>
          <w:b/>
          <w:bCs/>
          <w:color w:val="2D2D2D"/>
          <w:sz w:val="22"/>
          <w:szCs w:val="22"/>
        </w:rPr>
        <w:t xml:space="preserve">Internal Audit:</w:t>
      </w:r>
      <w:r>
        <w:rPr>
          <w:rFonts w:ascii="Arial" w:cs="Arial" w:eastAsia="Arial" w:hAnsi="Arial"/>
          <w:color w:val="2D2D2D"/>
          <w:sz w:val="22"/>
          <w:szCs w:val="22"/>
        </w:rPr>
        <w:t xml:space="preserve"> Read-only access to decision event log via structured query; periodic audit of AI governance controls; findings to Audit Committee. </w:t>
      </w:r>
      <w:r>
        <w:rPr>
          <w:rFonts w:ascii="Arial" w:cs="Arial" w:eastAsia="Arial" w:hAnsi="Arial"/>
          <w:b/>
          <w:bCs/>
          <w:color w:val="2D2D2D"/>
          <w:sz w:val="22"/>
          <w:szCs w:val="22"/>
        </w:rPr>
        <w:t xml:space="preserve">(H)</w:t>
      </w:r>
      <w:r>
        <w:rPr>
          <w:rFonts w:ascii="Arial" w:cs="Arial" w:eastAsia="Arial" w:hAnsi="Arial"/>
          <w:color w:val="2D2D2D"/>
          <w:sz w:val="22"/>
          <w:szCs w:val="22"/>
        </w:rPr>
        <w:t xml:space="preserve"/>
      </w:r>
    </w:p>
    <w:p>
      <w:pPr>
        <w:pStyle w:val="ListParagraph"/>
        <w:numPr>
          <w:ilvl w:val="0"/>
          <w:numId w:val="2"/>
        </w:numPr>
        <w:spacing w:after="60"/>
      </w:pPr>
      <w:r>
        <w:rPr>
          <w:rFonts w:ascii="Arial" w:cs="Arial" w:eastAsia="Arial" w:hAnsi="Arial"/>
          <w:color w:val="2D2D2D"/>
          <w:sz w:val="22"/>
          <w:szCs w:val="22"/>
        </w:rPr>
        <w:t xml:space="preserve"/>
      </w:r>
      <w:r>
        <w:rPr>
          <w:rFonts w:ascii="Arial" w:cs="Arial" w:eastAsia="Arial" w:hAnsi="Arial"/>
          <w:b/>
          <w:bCs/>
          <w:color w:val="2D2D2D"/>
          <w:sz w:val="22"/>
          <w:szCs w:val="22"/>
        </w:rPr>
        <w:t xml:space="preserve">MRM Committee:</w:t>
      </w:r>
      <w:r>
        <w:rPr>
          <w:rFonts w:ascii="Arial" w:cs="Arial" w:eastAsia="Arial" w:hAnsi="Arial"/>
          <w:color w:val="2D2D2D"/>
          <w:sz w:val="22"/>
          <w:szCs w:val="22"/>
        </w:rPr>
        <w:t xml:space="preserve"> Monthly dashboard of Tier 1/2 AI model performance, drift metrics, and pending validations. </w:t>
      </w:r>
      <w:r>
        <w:rPr>
          <w:rFonts w:ascii="Arial" w:cs="Arial" w:eastAsia="Arial" w:hAnsi="Arial"/>
          <w:b/>
          <w:bCs/>
          <w:color w:val="2D2D2D"/>
          <w:sz w:val="22"/>
          <w:szCs w:val="22"/>
        </w:rPr>
        <w:t xml:space="preserve">(DA)</w:t>
      </w:r>
      <w:r>
        <w:rPr>
          <w:rFonts w:ascii="Arial" w:cs="Arial" w:eastAsia="Arial" w:hAnsi="Arial"/>
          <w:color w:val="2D2D2D"/>
          <w:sz w:val="22"/>
          <w:szCs w:val="22"/>
        </w:rPr>
        <w:t xml:space="preserve"/>
      </w:r>
    </w:p>
    <w:p>
      <w:pPr>
        <w:pStyle w:val="ListParagraph"/>
        <w:numPr>
          <w:ilvl w:val="0"/>
          <w:numId w:val="2"/>
        </w:numPr>
        <w:spacing w:after="60"/>
      </w:pPr>
      <w:r>
        <w:rPr>
          <w:rFonts w:ascii="Arial" w:cs="Arial" w:eastAsia="Arial" w:hAnsi="Arial"/>
          <w:color w:val="2D2D2D"/>
          <w:sz w:val="22"/>
          <w:szCs w:val="22"/>
        </w:rPr>
        <w:t xml:space="preserve"/>
      </w:r>
      <w:r>
        <w:rPr>
          <w:rFonts w:ascii="Arial" w:cs="Arial" w:eastAsia="Arial" w:hAnsi="Arial"/>
          <w:b/>
          <w:bCs/>
          <w:color w:val="2D2D2D"/>
          <w:sz w:val="22"/>
          <w:szCs w:val="22"/>
        </w:rPr>
        <w:t xml:space="preserve">Board / Risk Committee:</w:t>
      </w:r>
      <w:r>
        <w:rPr>
          <w:rFonts w:ascii="Arial" w:cs="Arial" w:eastAsia="Arial" w:hAnsi="Arial"/>
          <w:color w:val="2D2D2D"/>
          <w:sz w:val="22"/>
          <w:szCs w:val="22"/>
        </w:rPr>
        <w:t xml:space="preserve"> Aggregate model risk exposure, significant findings, and TPRM program health reported quarterly per SR 11-7. </w:t>
      </w:r>
      <w:r>
        <w:rPr>
          <w:rFonts w:ascii="Arial" w:cs="Arial" w:eastAsia="Arial" w:hAnsi="Arial"/>
          <w:b/>
          <w:bCs/>
          <w:color w:val="2D2D2D"/>
          <w:sz w:val="22"/>
          <w:szCs w:val="22"/>
        </w:rPr>
        <w:t xml:space="preserve">(H)</w:t>
      </w:r>
      <w:r>
        <w:rPr>
          <w:rFonts w:ascii="Arial" w:cs="Arial" w:eastAsia="Arial" w:hAnsi="Arial"/>
          <w:color w:val="2D2D2D"/>
          <w:sz w:val="22"/>
          <w:szCs w:val="22"/>
        </w:rPr>
        <w:t xml:space="preserve"/>
      </w:r>
    </w:p>
    <w:p>
      <w:pPr>
        <w:pStyle w:val="ListParagraph"/>
        <w:numPr>
          <w:ilvl w:val="0"/>
          <w:numId w:val="2"/>
        </w:numPr>
        <w:spacing w:after="60"/>
      </w:pPr>
      <w:r>
        <w:rPr>
          <w:rFonts w:ascii="Arial" w:cs="Arial" w:eastAsia="Arial" w:hAnsi="Arial"/>
          <w:color w:val="2D2D2D"/>
          <w:sz w:val="22"/>
          <w:szCs w:val="22"/>
        </w:rPr>
        <w:t xml:space="preserve"/>
      </w:r>
      <w:r>
        <w:rPr>
          <w:rFonts w:ascii="Arial" w:cs="Arial" w:eastAsia="Arial" w:hAnsi="Arial"/>
          <w:b/>
          <w:bCs/>
          <w:color w:val="2D2D2D"/>
          <w:sz w:val="22"/>
          <w:szCs w:val="22"/>
        </w:rPr>
        <w:t xml:space="preserve">Regulatory exam package:</w:t>
      </w:r>
      <w:r>
        <w:rPr>
          <w:rFonts w:ascii="Arial" w:cs="Arial" w:eastAsia="Arial" w:hAnsi="Arial"/>
          <w:color w:val="2D2D2D"/>
          <w:sz w:val="22"/>
          <w:szCs w:val="22"/>
        </w:rPr>
        <w:t xml:space="preserve"> Pre-built report template assembles all decision events for specified request ID or date range—formatted for examiner access within 24 hours. </w:t>
      </w:r>
      <w:r>
        <w:rPr>
          <w:rFonts w:ascii="Arial" w:cs="Arial" w:eastAsia="Arial" w:hAnsi="Arial"/>
          <w:b/>
          <w:bCs/>
          <w:color w:val="2D2D2D"/>
          <w:sz w:val="22"/>
          <w:szCs w:val="22"/>
        </w:rPr>
        <w:t xml:space="preserve">(A)</w:t>
      </w:r>
      <w:r>
        <w:rPr>
          <w:rFonts w:ascii="Arial" w:cs="Arial" w:eastAsia="Arial" w:hAnsi="Arial"/>
          <w:color w:val="2D2D2D"/>
          <w:sz w:val="22"/>
          <w:szCs w:val="22"/>
        </w:rPr>
        <w:t xml:space="preserve"/>
      </w:r>
    </w:p>
    <w:p>
      <w:r>
        <w:br w:type="page"/>
      </w:r>
    </w:p>
    <w:p>
      <w:pPr>
        <w:pStyle w:val="Heading1"/>
      </w:pPr>
      <w:r>
        <w:rPr>
          <w:rFonts w:ascii="Arial" w:cs="Arial" w:eastAsia="Arial" w:hAnsi="Arial"/>
          <w:b/>
          <w:bCs/>
          <w:color w:val="1B3A5C"/>
          <w:sz w:val="36"/>
          <w:szCs w:val="36"/>
        </w:rPr>
        <w:t xml:space="preserve">14. Complete DMN Decision Model Catalog</w:t>
      </w:r>
    </w:p>
    <w:p>
      <w:pPr>
        <w:spacing w:after="120"/>
      </w:pPr>
      <w:r>
        <w:rPr>
          <w:rFonts w:ascii="Arial" w:cs="Arial" w:eastAsia="Arial" w:hAnsi="Arial"/>
          <w:color w:val="2D2D2D"/>
          <w:sz w:val="22"/>
          <w:szCs w:val="22"/>
        </w:rPr>
        <w:t xml:space="preserve">All fifteen formalized DMN decision tables are candidates for externalization as Business Rules Tasks in a BPMN process engine (Camunda, Flowable, IBM ODM). Each is independently versioned, audited, and governed.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900"/>
        <w:gridCol w:w="800"/>
        <w:gridCol w:w="2600"/>
        <w:gridCol w:w="2560"/>
      </w:tblGrid>
      <w:tr>
        <w:tc>
          <w:tcPr>
            <w:tcW w:type="dxa" w:w="90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DMN ID</w:t>
            </w:r>
          </w:p>
        </w:tc>
        <w:tc>
          <w:tcPr>
            <w:tcW w:type="dxa" w:w="160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Decision Name</w:t>
            </w:r>
          </w:p>
        </w:tc>
        <w:tc>
          <w:tcPr>
            <w:tcW w:type="dxa" w:w="90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80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Hit Policy</w:t>
            </w:r>
          </w:p>
        </w:tc>
        <w:tc>
          <w:tcPr>
            <w:tcW w:type="dxa" w:w="260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Primary Condition Inputs</w:t>
            </w:r>
          </w:p>
        </w:tc>
        <w:tc>
          <w:tcPr>
            <w:tcW w:type="dxa" w:w="256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Primary Action Outputs</w:t>
            </w:r>
          </w:p>
        </w:tc>
      </w:tr>
      <w:tr>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DMN-01</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AI Routing and Pathway Assignment</w:t>
            </w:r>
          </w:p>
        </w:tc>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2</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UNIQUE</w:t>
            </w:r>
          </w:p>
        </w:tc>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Channel; existing solution; AI tier; composite score; vendor status</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Pathway; fast-track flag; required reviews</w:t>
            </w:r>
          </w:p>
        </w:tc>
      </w:tr>
      <w:tr>
        <w:tc>
          <w:tcPr>
            <w:tcW w:type="dxa" w:w="9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DMN-02</w:t>
            </w:r>
          </w:p>
        </w:tc>
        <w:tc>
          <w:tcPr>
            <w:tcW w:type="dxa" w:w="16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Information Completeness Gate</w:t>
            </w:r>
          </w:p>
        </w:tc>
        <w:tc>
          <w:tcPr>
            <w:tcW w:type="dxa" w:w="9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3</w:t>
            </w:r>
          </w:p>
        </w:tc>
        <w:tc>
          <w:tcPr>
            <w:tcW w:type="dxa" w:w="8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ANY</w:t>
            </w:r>
          </w:p>
        </w:tc>
        <w:tc>
          <w:tcPr>
            <w:tcW w:type="dxa" w:w="26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Value quantified; data class; integration list; reg flags; PO approval</w:t>
            </w:r>
          </w:p>
        </w:tc>
        <w:tc>
          <w:tcPr>
            <w:tcW w:type="dxa" w:w="256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Proceed / Return (with gap identified)</w:t>
            </w:r>
          </w:p>
        </w:tc>
      </w:tr>
      <w:tr>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DMN-03</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Duplicate, Merge, and Reuse Decision</w:t>
            </w:r>
          </w:p>
        </w:tc>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3</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UNIQUE</w:t>
            </w:r>
          </w:p>
        </w:tc>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Registry match score; backlog match score; match type</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Close / Reuse assessment / Merge offer / Proceed</w:t>
            </w:r>
          </w:p>
        </w:tc>
      </w:tr>
      <w:tr>
        <w:tc>
          <w:tcPr>
            <w:tcW w:type="dxa" w:w="9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DMN-04</w:t>
            </w:r>
          </w:p>
        </w:tc>
        <w:tc>
          <w:tcPr>
            <w:tcW w:type="dxa" w:w="16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Go/No-Go Viability</w:t>
            </w:r>
          </w:p>
        </w:tc>
        <w:tc>
          <w:tcPr>
            <w:tcW w:type="dxa" w:w="9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4</w:t>
            </w:r>
          </w:p>
        </w:tc>
        <w:tc>
          <w:tcPr>
            <w:tcW w:type="dxa" w:w="8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PRIORITY</w:t>
            </w:r>
          </w:p>
        </w:tc>
        <w:tc>
          <w:tcPr>
            <w:tcW w:type="dxa" w:w="26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Composite score; strategic alignment; regulatory risk; budget; resources</w:t>
            </w:r>
          </w:p>
        </w:tc>
        <w:tc>
          <w:tcPr>
            <w:tcW w:type="dxa" w:w="256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Priority GO / Standard GO / Defer / NO-GO variants</w:t>
            </w:r>
          </w:p>
        </w:tc>
      </w:tr>
      <w:tr>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DMN-05</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Buy vs. Build Analysis</w:t>
            </w:r>
          </w:p>
        </w:tc>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4</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UNIQUE</w:t>
            </w:r>
          </w:p>
        </w:tc>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Market solution; 5yr TCO; IP differentiation; complexity; strategic fit</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Buy / Build / Hybrid / Defer</w:t>
            </w:r>
          </w:p>
        </w:tc>
      </w:tr>
      <w:tr>
        <w:tc>
          <w:tcPr>
            <w:tcW w:type="dxa" w:w="9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DMN-06</w:t>
            </w:r>
          </w:p>
        </w:tc>
        <w:tc>
          <w:tcPr>
            <w:tcW w:type="dxa" w:w="16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Vendor Risk Tier Assignment</w:t>
            </w:r>
          </w:p>
        </w:tc>
        <w:tc>
          <w:tcPr>
            <w:tcW w:type="dxa" w:w="9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5B</w:t>
            </w:r>
          </w:p>
        </w:tc>
        <w:tc>
          <w:tcPr>
            <w:tcW w:type="dxa" w:w="8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PRIORITY</w:t>
            </w:r>
          </w:p>
        </w:tc>
        <w:tc>
          <w:tcPr>
            <w:tcW w:type="dxa" w:w="26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Critical activity; data sensitivity; concentration; financial stability; reg exposure</w:t>
            </w:r>
          </w:p>
        </w:tc>
        <w:tc>
          <w:tcPr>
            <w:tcW w:type="dxa" w:w="256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Tier 1–4; TPRM intensity</w:t>
            </w:r>
          </w:p>
        </w:tc>
      </w:tr>
      <w:tr>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DMN-07</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Vendor Selection and RAE Gate</w:t>
            </w:r>
          </w:p>
        </w:tc>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5B</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UNIQUE</w:t>
            </w:r>
          </w:p>
        </w:tc>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Vendor response count; pilot outcome; RAE findings; AI Gov status</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Proceed / Conditional / Restart / No-Go</w:t>
            </w:r>
          </w:p>
        </w:tc>
      </w:tr>
      <w:tr>
        <w:tc>
          <w:tcPr>
            <w:tcW w:type="dxa" w:w="9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DMN-08</w:t>
            </w:r>
          </w:p>
        </w:tc>
        <w:tc>
          <w:tcPr>
            <w:tcW w:type="dxa" w:w="16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Funding Confirmation Gate</w:t>
            </w:r>
          </w:p>
        </w:tc>
        <w:tc>
          <w:tcPr>
            <w:tcW w:type="dxa" w:w="9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5B</w:t>
            </w:r>
          </w:p>
        </w:tc>
        <w:tc>
          <w:tcPr>
            <w:tcW w:type="dxa" w:w="8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UNIQUE</w:t>
            </w:r>
          </w:p>
        </w:tc>
        <w:tc>
          <w:tcPr>
            <w:tcW w:type="dxa" w:w="26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Finance engagement; budget; FP&amp;A completion; budget year</w:t>
            </w:r>
          </w:p>
        </w:tc>
        <w:tc>
          <w:tcPr>
            <w:tcW w:type="dxa" w:w="256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Funded / Deferred / No Funding / Escalate</w:t>
            </w:r>
          </w:p>
        </w:tc>
      </w:tr>
      <w:tr>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DMN-09</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AI Risk Tier Classification</w:t>
            </w:r>
          </w:p>
        </w:tc>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1</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PRIORITY</w:t>
            </w:r>
          </w:p>
        </w:tc>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Decision materiality; credit/capital impact; model complexity; data sensitivity</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Tier 1 / Tier 2 / Tier 3 classification</w:t>
            </w:r>
          </w:p>
        </w:tc>
      </w:tr>
      <w:tr>
        <w:tc>
          <w:tcPr>
            <w:tcW w:type="dxa" w:w="9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DMN-10</w:t>
            </w:r>
          </w:p>
        </w:tc>
        <w:tc>
          <w:tcPr>
            <w:tcW w:type="dxa" w:w="16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Proof of Concept Gate</w:t>
            </w:r>
          </w:p>
        </w:tc>
        <w:tc>
          <w:tcPr>
            <w:tcW w:type="dxa" w:w="9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5A</w:t>
            </w:r>
          </w:p>
        </w:tc>
        <w:tc>
          <w:tcPr>
            <w:tcW w:type="dxa" w:w="8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UNIQUE</w:t>
            </w:r>
          </w:p>
        </w:tc>
        <w:tc>
          <w:tcPr>
            <w:tcW w:type="dxa" w:w="26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PoC rubric score; Architecture sign-off; CyberSec sign-off</w:t>
            </w:r>
          </w:p>
        </w:tc>
        <w:tc>
          <w:tcPr>
            <w:tcW w:type="dxa" w:w="256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Proceed / Refine and retry / Reject</w:t>
            </w:r>
          </w:p>
        </w:tc>
      </w:tr>
      <w:tr>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DMN-11</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Technology and Risk Evaluation Gate</w:t>
            </w:r>
          </w:p>
        </w:tc>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5A</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ANY</w:t>
            </w:r>
          </w:p>
        </w:tc>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Completeness; AI Gov checklist; Architecture; CyberSec; Compliance</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Proceed to UAT / Hold (domain) / Return</w:t>
            </w:r>
          </w:p>
        </w:tc>
      </w:tr>
      <w:tr>
        <w:tc>
          <w:tcPr>
            <w:tcW w:type="dxa" w:w="9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DMN-12</w:t>
            </w:r>
          </w:p>
        </w:tc>
        <w:tc>
          <w:tcPr>
            <w:tcW w:type="dxa" w:w="16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Observability Tier Assignment</w:t>
            </w:r>
          </w:p>
        </w:tc>
        <w:tc>
          <w:tcPr>
            <w:tcW w:type="dxa" w:w="9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5A</w:t>
            </w:r>
          </w:p>
        </w:tc>
        <w:tc>
          <w:tcPr>
            <w:tcW w:type="dxa" w:w="8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PRIORITY</w:t>
            </w:r>
          </w:p>
        </w:tc>
        <w:tc>
          <w:tcPr>
            <w:tcW w:type="dxa" w:w="26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AI risk tier; regulatory classification; decision materiality; user population</w:t>
            </w:r>
          </w:p>
        </w:tc>
        <w:tc>
          <w:tcPr>
            <w:tcW w:type="dxa" w:w="256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Log schema tier; retention; monitoring cadence; alerts</w:t>
            </w:r>
          </w:p>
        </w:tc>
      </w:tr>
      <w:tr>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DMN-13</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Fast-Track Eligibility</w:t>
            </w:r>
          </w:p>
        </w:tc>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2</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UNIQUE</w:t>
            </w:r>
          </w:p>
        </w:tc>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Internal channel; AI flag; production flag; sensitivity; vendor pre-approval</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Fast-track / Standard</w:t>
            </w:r>
          </w:p>
        </w:tc>
      </w:tr>
      <w:tr>
        <w:tc>
          <w:tcPr>
            <w:tcW w:type="dxa" w:w="9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DMN-14</w:t>
            </w:r>
          </w:p>
        </w:tc>
        <w:tc>
          <w:tcPr>
            <w:tcW w:type="dxa" w:w="16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TPRM Monitoring Frequency</w:t>
            </w:r>
          </w:p>
        </w:tc>
        <w:tc>
          <w:tcPr>
            <w:tcW w:type="dxa" w:w="9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5B→Ongoing</w:t>
            </w:r>
          </w:p>
        </w:tc>
        <w:tc>
          <w:tcPr>
            <w:tcW w:type="dxa" w:w="8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UNIQUE</w:t>
            </w:r>
          </w:p>
        </w:tc>
        <w:tc>
          <w:tcPr>
            <w:tcW w:type="dxa" w:w="26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Vendor risk tier; contract value; service criticality; prior outcomes</w:t>
            </w:r>
          </w:p>
        </w:tc>
        <w:tc>
          <w:tcPr>
            <w:tcW w:type="dxa" w:w="256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Monitoring cadence per activity</w:t>
            </w:r>
          </w:p>
        </w:tc>
      </w:tr>
      <w:tr>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DMN-15</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Capability Reuse Gate</w:t>
            </w:r>
            <w:r>
              <w:rPr>
                <w:rFonts w:ascii="Arial" w:cs="Arial" w:eastAsia="Arial" w:hAnsi="Arial"/>
                <w:color w:val="2D2D2D"/>
                <w:sz w:val="20"/>
                <w:szCs w:val="20"/>
              </w:rPr>
              <w:t xml:space="preserve"/>
            </w:r>
          </w:p>
        </w:tc>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1</w:t>
            </w:r>
            <w:r>
              <w:rPr>
                <w:rFonts w:ascii="Arial" w:cs="Arial" w:eastAsia="Arial" w:hAnsi="Arial"/>
                <w:color w:val="2D2D2D"/>
                <w:sz w:val="20"/>
                <w:szCs w:val="20"/>
              </w:rPr>
              <w:t xml:space="preserve"/>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UNIQUE</w:t>
            </w:r>
            <w:r>
              <w:rPr>
                <w:rFonts w:ascii="Arial" w:cs="Arial" w:eastAsia="Arial" w:hAnsi="Arial"/>
                <w:color w:val="2D2D2D"/>
                <w:sz w:val="20"/>
                <w:szCs w:val="20"/>
              </w:rPr>
              <w:t xml:space="preserve"/>
            </w:r>
          </w:p>
        </w:tc>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Registry match; functional fit; license availability; retired match</w:t>
            </w:r>
            <w:r>
              <w:rPr>
                <w:rFonts w:ascii="Arial" w:cs="Arial" w:eastAsia="Arial" w:hAnsi="Arial"/>
                <w:color w:val="2D2D2D"/>
                <w:sz w:val="20"/>
                <w:szCs w:val="20"/>
              </w:rPr>
              <w:t xml:space="preserve"/>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Reuse-Redirect / Reuse Assessment / Evaluate Expansion / Proceed / Surface Rationale</w:t>
            </w:r>
            <w:r>
              <w:rPr>
                <w:rFonts w:ascii="Arial" w:cs="Arial" w:eastAsia="Arial" w:hAnsi="Arial"/>
                <w:color w:val="2D2D2D"/>
                <w:sz w:val="20"/>
                <w:szCs w:val="20"/>
              </w:rPr>
              <w:t xml:space="preserve"/>
            </w:r>
          </w:p>
        </w:tc>
      </w:tr>
    </w:tbl>
    <w:p>
      <w:r>
        <w:br w:type="page"/>
      </w:r>
    </w:p>
    <w:p>
      <w:pPr>
        <w:pStyle w:val="Heading1"/>
      </w:pPr>
      <w:r>
        <w:rPr>
          <w:rFonts w:ascii="Arial" w:cs="Arial" w:eastAsia="Arial" w:hAnsi="Arial"/>
          <w:b/>
          <w:bCs/>
          <w:color w:val="1B3A5C"/>
          <w:sz w:val="36"/>
          <w:szCs w:val="36"/>
        </w:rPr>
        <w:t xml:space="preserve">15. Controlled Agent Usage Framework</w:t>
      </w:r>
    </w:p>
    <w:p>
      <w:pPr>
        <w:pBdr>
          <w:left w:val="single" w:color="E65100" w:sz="12" w:space="8"/>
        </w:pBdr>
        <w:shd w:fill="FFF3E0" w:val="clear"/>
        <w:spacing w:before="160" w:after="160"/>
        <w:ind w:left="240" w:right="240"/>
      </w:pPr>
      <w:r>
        <w:rPr>
          <w:rFonts w:ascii="Arial" w:cs="Arial" w:eastAsia="Arial" w:hAnsi="Arial"/>
          <w:i/>
          <w:iCs/>
          <w:color w:val="2D2D2D"/>
          <w:sz w:val="22"/>
          <w:szCs w:val="22"/>
        </w:rPr>
        <w:t xml:space="preserve">Agents are permitted within this workflow only when they meet all four conditions: (1) outputs are deterministic and reproducible, (2) they use deterministic knowledge bases, (3) decision provenance is logged, and (4) they follow DMN rules. All agent activities are orchestrated and monitored within the BPMN workflow.</w:t>
      </w:r>
    </w:p>
    <w:p>
      <w:pPr>
        <w:pStyle w:val="Heading2"/>
        <w:spacing w:before="300" w:after="120"/>
      </w:pPr>
      <w:r>
        <w:rPr>
          <w:rFonts w:ascii="Arial" w:cs="Arial" w:eastAsia="Arial" w:hAnsi="Arial"/>
          <w:b/>
          <w:bCs/>
          <w:color w:val="2C5F8A"/>
          <w:sz w:val="28"/>
          <w:szCs w:val="28"/>
        </w:rPr>
        <w:t xml:space="preserve">15.1 Agent Governance Principles</w:t>
      </w:r>
    </w:p>
    <w:p>
      <w:pPr>
        <w:pStyle w:val="ListParagraph"/>
        <w:numPr>
          <w:ilvl w:val="0"/>
          <w:numId w:val="2"/>
        </w:numPr>
        <w:spacing w:after="60"/>
      </w:pPr>
      <w:r>
        <w:rPr>
          <w:rFonts w:ascii="Arial" w:cs="Arial" w:eastAsia="Arial" w:hAnsi="Arial"/>
          <w:color w:val="2D2D2D"/>
          <w:sz w:val="22"/>
          <w:szCs w:val="22"/>
        </w:rPr>
        <w:t xml:space="preserve"/>
      </w:r>
      <w:r>
        <w:rPr>
          <w:rFonts w:ascii="Arial" w:cs="Arial" w:eastAsia="Arial" w:hAnsi="Arial"/>
          <w:b/>
          <w:bCs/>
          <w:color w:val="2D2D2D"/>
          <w:sz w:val="22"/>
          <w:szCs w:val="22"/>
        </w:rPr>
        <w:t xml:space="preserve">Deterministic Output Requirement:</w:t>
      </w:r>
      <w:r>
        <w:rPr>
          <w:rFonts w:ascii="Arial" w:cs="Arial" w:eastAsia="Arial" w:hAnsi="Arial"/>
          <w:color w:val="2D2D2D"/>
          <w:sz w:val="22"/>
          <w:szCs w:val="22"/>
        </w:rPr>
        <w:t xml:space="preserve"> Every agent invocation must produce the same output given the same inputs and knowledge base version. Non-deterministic outputs (temperature-based LLM generation) are permitted only for human-reviewed drafts, never for decisions.</w:t>
      </w:r>
    </w:p>
    <w:p>
      <w:pPr>
        <w:pStyle w:val="ListParagraph"/>
        <w:numPr>
          <w:ilvl w:val="0"/>
          <w:numId w:val="2"/>
        </w:numPr>
        <w:spacing w:after="60"/>
      </w:pPr>
      <w:r>
        <w:rPr>
          <w:rFonts w:ascii="Arial" w:cs="Arial" w:eastAsia="Arial" w:hAnsi="Arial"/>
          <w:color w:val="2D2D2D"/>
          <w:sz w:val="22"/>
          <w:szCs w:val="22"/>
        </w:rPr>
        <w:t xml:space="preserve"/>
      </w:r>
      <w:r>
        <w:rPr>
          <w:rFonts w:ascii="Arial" w:cs="Arial" w:eastAsia="Arial" w:hAnsi="Arial"/>
          <w:b/>
          <w:bCs/>
          <w:color w:val="2D2D2D"/>
          <w:sz w:val="22"/>
          <w:szCs w:val="22"/>
        </w:rPr>
        <w:t xml:space="preserve">Knowledge Base Binding:</w:t>
      </w:r>
      <w:r>
        <w:rPr>
          <w:rFonts w:ascii="Arial" w:cs="Arial" w:eastAsia="Arial" w:hAnsi="Arial"/>
          <w:color w:val="2D2D2D"/>
          <w:sz w:val="22"/>
          <w:szCs w:val="22"/>
        </w:rPr>
        <w:t xml:space="preserve"> Each agent is bound to a specific, versioned deterministic knowledge base. The knowledge base version is logged with every agent invocation.</w:t>
      </w:r>
    </w:p>
    <w:p>
      <w:pPr>
        <w:pStyle w:val="ListParagraph"/>
        <w:numPr>
          <w:ilvl w:val="0"/>
          <w:numId w:val="2"/>
        </w:numPr>
        <w:spacing w:after="60"/>
      </w:pPr>
      <w:r>
        <w:rPr>
          <w:rFonts w:ascii="Arial" w:cs="Arial" w:eastAsia="Arial" w:hAnsi="Arial"/>
          <w:color w:val="2D2D2D"/>
          <w:sz w:val="22"/>
          <w:szCs w:val="22"/>
        </w:rPr>
        <w:t xml:space="preserve"/>
      </w:r>
      <w:r>
        <w:rPr>
          <w:rFonts w:ascii="Arial" w:cs="Arial" w:eastAsia="Arial" w:hAnsi="Arial"/>
          <w:b/>
          <w:bCs/>
          <w:color w:val="2D2D2D"/>
          <w:sz w:val="22"/>
          <w:szCs w:val="22"/>
        </w:rPr>
        <w:t xml:space="preserve">Decision Provenance:</w:t>
      </w:r>
      <w:r>
        <w:rPr>
          <w:rFonts w:ascii="Arial" w:cs="Arial" w:eastAsia="Arial" w:hAnsi="Arial"/>
          <w:color w:val="2D2D2D"/>
          <w:sz w:val="22"/>
          <w:szCs w:val="22"/>
        </w:rPr>
        <w:t xml:space="preserve"> Full provenance chain is logged: input data hash, knowledge base version, agent version, DMN rule applied, output, and confidence score.</w:t>
      </w:r>
    </w:p>
    <w:p>
      <w:pPr>
        <w:pStyle w:val="ListParagraph"/>
        <w:numPr>
          <w:ilvl w:val="0"/>
          <w:numId w:val="2"/>
        </w:numPr>
        <w:spacing w:after="60"/>
      </w:pPr>
      <w:r>
        <w:rPr>
          <w:rFonts w:ascii="Arial" w:cs="Arial" w:eastAsia="Arial" w:hAnsi="Arial"/>
          <w:color w:val="2D2D2D"/>
          <w:sz w:val="22"/>
          <w:szCs w:val="22"/>
        </w:rPr>
        <w:t xml:space="preserve"/>
      </w:r>
      <w:r>
        <w:rPr>
          <w:rFonts w:ascii="Arial" w:cs="Arial" w:eastAsia="Arial" w:hAnsi="Arial"/>
          <w:b/>
          <w:bCs/>
          <w:color w:val="2D2D2D"/>
          <w:sz w:val="22"/>
          <w:szCs w:val="22"/>
        </w:rPr>
        <w:t xml:space="preserve">DMN Governance:</w:t>
      </w:r>
      <w:r>
        <w:rPr>
          <w:rFonts w:ascii="Arial" w:cs="Arial" w:eastAsia="Arial" w:hAnsi="Arial"/>
          <w:color w:val="2D2D2D"/>
          <w:sz w:val="22"/>
          <w:szCs w:val="22"/>
        </w:rPr>
        <w:t xml:space="preserve"> Agents do not make autonomous decisions outside DMN rules. Agent outputs feed into DMN decision tables, which produce the final routing/classification/approval.</w:t>
      </w:r>
    </w:p>
    <w:p>
      <w:pPr>
        <w:pStyle w:val="ListParagraph"/>
        <w:numPr>
          <w:ilvl w:val="0"/>
          <w:numId w:val="2"/>
        </w:numPr>
        <w:spacing w:after="60"/>
      </w:pPr>
      <w:r>
        <w:rPr>
          <w:rFonts w:ascii="Arial" w:cs="Arial" w:eastAsia="Arial" w:hAnsi="Arial"/>
          <w:color w:val="2D2D2D"/>
          <w:sz w:val="22"/>
          <w:szCs w:val="22"/>
        </w:rPr>
        <w:t xml:space="preserve"/>
      </w:r>
      <w:r>
        <w:rPr>
          <w:rFonts w:ascii="Arial" w:cs="Arial" w:eastAsia="Arial" w:hAnsi="Arial"/>
          <w:b/>
          <w:bCs/>
          <w:color w:val="2D2D2D"/>
          <w:sz w:val="22"/>
          <w:szCs w:val="22"/>
        </w:rPr>
        <w:t xml:space="preserve">Human Escalation:</w:t>
      </w:r>
      <w:r>
        <w:rPr>
          <w:rFonts w:ascii="Arial" w:cs="Arial" w:eastAsia="Arial" w:hAnsi="Arial"/>
          <w:color w:val="2D2D2D"/>
          <w:sz w:val="22"/>
          <w:szCs w:val="22"/>
        </w:rPr>
        <w:t xml:space="preserve"> Any agent output below confidence threshold (≥85%) triggers automatic escalation to the appropriate human role.</w:t>
      </w:r>
    </w:p>
    <w:p>
      <w:pPr>
        <w:pStyle w:val="Heading2"/>
        <w:spacing w:before="300" w:after="120"/>
      </w:pPr>
      <w:r>
        <w:rPr>
          <w:rFonts w:ascii="Arial" w:cs="Arial" w:eastAsia="Arial" w:hAnsi="Arial"/>
          <w:b/>
          <w:bCs/>
          <w:color w:val="2C5F8A"/>
          <w:sz w:val="28"/>
          <w:szCs w:val="28"/>
        </w:rPr>
        <w:t xml:space="preserve">15.2 Agent Inventory and Assignments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000"/>
        <w:gridCol w:w="2000"/>
        <w:gridCol w:w="1960"/>
      </w:tblGrid>
      <w:tr>
        <w:tc>
          <w:tcPr>
            <w:tcW w:type="dxa" w:w="200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Agent</w:t>
            </w:r>
          </w:p>
        </w:tc>
        <w:tc>
          <w:tcPr>
            <w:tcW w:type="dxa" w:w="140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Phase(s)</w:t>
            </w:r>
          </w:p>
        </w:tc>
        <w:tc>
          <w:tcPr>
            <w:tcW w:type="dxa" w:w="200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Knowledge Base</w:t>
            </w:r>
          </w:p>
        </w:tc>
        <w:tc>
          <w:tcPr>
            <w:tcW w:type="dxa" w:w="200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DMN Governed By</w:t>
            </w:r>
          </w:p>
        </w:tc>
        <w:tc>
          <w:tcPr>
            <w:tcW w:type="dxa" w:w="196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Human Escalation Trigger</w:t>
            </w:r>
          </w:p>
        </w:tc>
      </w:tr>
      <w:tr>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Intake Bot</w:t>
            </w:r>
            <w:r>
              <w:rPr>
                <w:rFonts w:ascii="Arial" w:cs="Arial" w:eastAsia="Arial" w:hAnsi="Arial"/>
                <w:color w:val="2D2D2D"/>
                <w:sz w:val="20"/>
                <w:szCs w:val="20"/>
              </w:rPr>
              <w:t xml:space="preserve"/>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Phase 1</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Software Registry; Regulatory KB; Data Governance KB</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DMN-09, DMN-15</w:t>
            </w:r>
          </w:p>
        </w:tc>
        <w:tc>
          <w:tcPr>
            <w:tcW w:type="dxa" w:w="1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Ambiguous capability; unresolvable field validation</w:t>
            </w:r>
          </w:p>
        </w:tc>
      </w:tr>
      <w:tr>
        <w:tc>
          <w:tcPr>
            <w:tcW w:type="dxa" w:w="20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Routing Engine</w:t>
            </w:r>
            <w:r>
              <w:rPr>
                <w:rFonts w:ascii="Arial" w:cs="Arial" w:eastAsia="Arial" w:hAnsi="Arial"/>
                <w:color w:val="2D2D2D"/>
                <w:sz w:val="20"/>
                <w:szCs w:val="20"/>
              </w:rPr>
              <w:t xml:space="preserve"/>
            </w:r>
          </w:p>
        </w:tc>
        <w:tc>
          <w:tcPr>
            <w:tcW w:type="dxa" w:w="14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Phase 2</w:t>
            </w:r>
          </w:p>
        </w:tc>
        <w:tc>
          <w:tcPr>
            <w:tcW w:type="dxa" w:w="20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Software Registry; Historical routing outcomes</w:t>
            </w:r>
          </w:p>
        </w:tc>
        <w:tc>
          <w:tcPr>
            <w:tcW w:type="dxa" w:w="20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DMN-01, DMN-13</w:t>
            </w:r>
          </w:p>
        </w:tc>
        <w:tc>
          <w:tcPr>
            <w:tcW w:type="dxa" w:w="196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Confidence &lt; 85%</w:t>
            </w:r>
          </w:p>
        </w:tc>
      </w:tr>
      <w:tr>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Compliance Analysis Agent</w:t>
            </w:r>
            <w:r>
              <w:rPr>
                <w:rFonts w:ascii="Arial" w:cs="Arial" w:eastAsia="Arial" w:hAnsi="Arial"/>
                <w:color w:val="2D2D2D"/>
                <w:sz w:val="20"/>
                <w:szCs w:val="20"/>
              </w:rPr>
              <w:t xml:space="preserve"/>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Phase 1, 3</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Regulatory Requirements KB; Data Governance KB</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DMN-02</w:t>
            </w:r>
          </w:p>
        </w:tc>
        <w:tc>
          <w:tcPr>
            <w:tcW w:type="dxa" w:w="1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Novel regulatory scenario; cross-border ambiguity</w:t>
            </w:r>
          </w:p>
        </w:tc>
      </w:tr>
      <w:tr>
        <w:tc>
          <w:tcPr>
            <w:tcW w:type="dxa" w:w="20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Legal Clause Assembly Agent</w:t>
            </w:r>
            <w:r>
              <w:rPr>
                <w:rFonts w:ascii="Arial" w:cs="Arial" w:eastAsia="Arial" w:hAnsi="Arial"/>
                <w:color w:val="2D2D2D"/>
                <w:sz w:val="20"/>
                <w:szCs w:val="20"/>
              </w:rPr>
              <w:t xml:space="preserve"/>
            </w:r>
          </w:p>
        </w:tc>
        <w:tc>
          <w:tcPr>
            <w:tcW w:type="dxa" w:w="14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Phase 5B</w:t>
            </w:r>
          </w:p>
        </w:tc>
        <w:tc>
          <w:tcPr>
            <w:tcW w:type="dxa" w:w="20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Legal Knowledge Graph</w:t>
            </w:r>
          </w:p>
        </w:tc>
        <w:tc>
          <w:tcPr>
            <w:tcW w:type="dxa" w:w="20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Graph traversal rules</w:t>
            </w:r>
          </w:p>
        </w:tc>
        <w:tc>
          <w:tcPr>
            <w:tcW w:type="dxa" w:w="196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Conflicting clauses; novel contract type</w:t>
            </w:r>
          </w:p>
        </w:tc>
      </w:tr>
      <w:tr>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Contract Redline Agent</w:t>
            </w:r>
            <w:r>
              <w:rPr>
                <w:rFonts w:ascii="Arial" w:cs="Arial" w:eastAsia="Arial" w:hAnsi="Arial"/>
                <w:color w:val="2D2D2D"/>
                <w:sz w:val="20"/>
                <w:szCs w:val="20"/>
              </w:rPr>
              <w:t xml:space="preserve"/>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Phase 5B</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Legal Knowledge Graph; Precedent outcomes</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Institutional standards rules</w:t>
            </w:r>
          </w:p>
        </w:tc>
        <w:tc>
          <w:tcPr>
            <w:tcW w:type="dxa" w:w="1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Non-standard deviation &gt; threshold</w:t>
            </w:r>
          </w:p>
        </w:tc>
      </w:tr>
      <w:tr>
        <w:tc>
          <w:tcPr>
            <w:tcW w:type="dxa" w:w="20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Knowledge Staging Agent</w:t>
            </w:r>
            <w:r>
              <w:rPr>
                <w:rFonts w:ascii="Arial" w:cs="Arial" w:eastAsia="Arial" w:hAnsi="Arial"/>
                <w:color w:val="2D2D2D"/>
                <w:sz w:val="20"/>
                <w:szCs w:val="20"/>
              </w:rPr>
              <w:t xml:space="preserve"/>
            </w:r>
          </w:p>
        </w:tc>
        <w:tc>
          <w:tcPr>
            <w:tcW w:type="dxa" w:w="14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All phases</w:t>
            </w:r>
          </w:p>
        </w:tc>
        <w:tc>
          <w:tcPr>
            <w:tcW w:type="dxa" w:w="20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All knowledge bases (write access)</w:t>
            </w:r>
          </w:p>
        </w:tc>
        <w:tc>
          <w:tcPr>
            <w:tcW w:type="dxa" w:w="20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Validation rules per KB schema</w:t>
            </w:r>
          </w:p>
        </w:tc>
        <w:tc>
          <w:tcPr>
            <w:tcW w:type="dxa" w:w="196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Schema validation failure</w:t>
            </w:r>
          </w:p>
        </w:tc>
      </w:tr>
      <w:tr>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Monitoring and Alerting Agent</w:t>
            </w:r>
            <w:r>
              <w:rPr>
                <w:rFonts w:ascii="Arial" w:cs="Arial" w:eastAsia="Arial" w:hAnsi="Arial"/>
                <w:color w:val="2D2D2D"/>
                <w:sz w:val="20"/>
                <w:szCs w:val="20"/>
              </w:rPr>
              <w:t xml:space="preserve"/>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Phase 6</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Performance baselines; drift thresholds</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DMN-12, DMN-14</w:t>
            </w:r>
          </w:p>
        </w:tc>
        <w:tc>
          <w:tcPr>
            <w:tcW w:type="dxa" w:w="1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Alert threshold breach</w:t>
            </w:r>
          </w:p>
        </w:tc>
      </w:tr>
    </w:tbl>
    <w:p>
      <w:r>
        <w:br w:type="page"/>
      </w:r>
    </w:p>
    <w:p>
      <w:pPr>
        <w:pStyle w:val="Heading1"/>
      </w:pPr>
      <w:r>
        <w:rPr>
          <w:rFonts w:ascii="Arial" w:cs="Arial" w:eastAsia="Arial" w:hAnsi="Arial"/>
          <w:b/>
          <w:bCs/>
          <w:color w:val="1B3A5C"/>
          <w:sz w:val="36"/>
          <w:szCs w:val="36"/>
        </w:rPr>
        <w:t xml:space="preserve">16. Deterministic Knowledge Integration</w:t>
      </w:r>
    </w:p>
    <w:p>
      <w:pPr>
        <w:pBdr>
          <w:left w:val="single" w:color="0D7377" w:sz="12" w:space="8"/>
        </w:pBdr>
        <w:shd w:fill="E8F5E9" w:val="clear"/>
        <w:spacing w:before="160" w:after="160"/>
        <w:ind w:left="240" w:right="240"/>
      </w:pPr>
      <w:r>
        <w:rPr>
          <w:rFonts w:ascii="Arial" w:cs="Arial" w:eastAsia="Arial" w:hAnsi="Arial"/>
          <w:i/>
          <w:iCs/>
          <w:color w:val="2D2D2D"/>
          <w:sz w:val="22"/>
          <w:szCs w:val="22"/>
        </w:rPr>
        <w:t xml:space="preserve">The workflow identifies where knowledge is generated, stages validated knowledge into deterministic knowledge bases, and replaces manual follow-ups with structured retrieval and rule execution. Objective: Reduce person-to-person dependency, increase reuse, eliminate shadow work.</w:t>
      </w:r>
    </w:p>
    <w:p>
      <w:pPr>
        <w:pStyle w:val="Heading2"/>
        <w:spacing w:before="300" w:after="120"/>
      </w:pPr>
      <w:r>
        <w:rPr>
          <w:rFonts w:ascii="Arial" w:cs="Arial" w:eastAsia="Arial" w:hAnsi="Arial"/>
          <w:b/>
          <w:bCs/>
          <w:color w:val="2C5F8A"/>
          <w:sz w:val="28"/>
          <w:szCs w:val="28"/>
        </w:rPr>
        <w:t xml:space="preserve">16.1 Knowledge Base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1800"/>
        <w:gridCol w:w="1560"/>
      </w:tblGrid>
      <w:tr>
        <w:tc>
          <w:tcPr>
            <w:tcW w:type="dxa" w:w="200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Knowledge Base</w:t>
            </w:r>
          </w:p>
        </w:tc>
        <w:tc>
          <w:tcPr>
            <w:tcW w:type="dxa" w:w="200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w:t>
            </w:r>
          </w:p>
        </w:tc>
        <w:tc>
          <w:tcPr>
            <w:tcW w:type="dxa" w:w="200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Update Source</w:t>
            </w:r>
          </w:p>
        </w:tc>
        <w:tc>
          <w:tcPr>
            <w:tcW w:type="dxa" w:w="180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Update Mechanism</w:t>
            </w:r>
          </w:p>
        </w:tc>
        <w:tc>
          <w:tcPr>
            <w:tcW w:type="dxa" w:w="156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Governance</w:t>
            </w:r>
          </w:p>
        </w:tc>
      </w:tr>
      <w:tr>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Software Registry</w:t>
            </w:r>
            <w:r>
              <w:rPr>
                <w:rFonts w:ascii="Arial" w:cs="Arial" w:eastAsia="Arial" w:hAnsi="Arial"/>
                <w:color w:val="2D2D2D"/>
                <w:sz w:val="20"/>
                <w:szCs w:val="20"/>
              </w:rPr>
              <w:t xml:space="preserve"/>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All software assets: purchased, built, contracted, in-flight, retired</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CMDB, SAM, Git, SaaS analytics, vendor contracts, backlogs</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Automated nightly reconciliation (A); manual corrections (H)</w:t>
            </w:r>
          </w:p>
        </w:tc>
        <w:tc>
          <w:tcPr>
            <w:tcW w:type="dxa" w:w="1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Software Asset Manager owns; quarterly audit</w:t>
            </w:r>
          </w:p>
        </w:tc>
      </w:tr>
      <w:tr>
        <w:tc>
          <w:tcPr>
            <w:tcW w:type="dxa" w:w="20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Regulatory Requirements KB</w:t>
            </w:r>
            <w:r>
              <w:rPr>
                <w:rFonts w:ascii="Arial" w:cs="Arial" w:eastAsia="Arial" w:hAnsi="Arial"/>
                <w:color w:val="2D2D2D"/>
                <w:sz w:val="20"/>
                <w:szCs w:val="20"/>
              </w:rPr>
              <w:t xml:space="preserve"/>
            </w:r>
          </w:p>
        </w:tc>
        <w:tc>
          <w:tcPr>
            <w:tcW w:type="dxa" w:w="20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All applicable regulations, clauses, citations, and control requirements by domain and jurisdiction</w:t>
            </w:r>
          </w:p>
        </w:tc>
        <w:tc>
          <w:tcPr>
            <w:tcW w:type="dxa" w:w="20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Regulatory change feeds; compliance governance input</w:t>
            </w:r>
          </w:p>
        </w:tc>
        <w:tc>
          <w:tcPr>
            <w:tcW w:type="dxa" w:w="18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Agent monitors regulatory feeds (DA); Compliance validates (H)</w:t>
            </w:r>
          </w:p>
        </w:tc>
        <w:tc>
          <w:tcPr>
            <w:tcW w:type="dxa" w:w="156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Compliance Governance owns; 60-day update SLA on material changes</w:t>
            </w:r>
          </w:p>
        </w:tc>
      </w:tr>
      <w:tr>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Data Governance KB</w:t>
            </w:r>
            <w:r>
              <w:rPr>
                <w:rFonts w:ascii="Arial" w:cs="Arial" w:eastAsia="Arial" w:hAnsi="Arial"/>
                <w:color w:val="2D2D2D"/>
                <w:sz w:val="20"/>
                <w:szCs w:val="20"/>
              </w:rPr>
              <w:t xml:space="preserve"/>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Data classification rules, residency requirements, retention obligations, privacy regulation mappings</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Data governance office; regulatory updates</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Structured updates via validation workflow (H)</w:t>
            </w:r>
          </w:p>
        </w:tc>
        <w:tc>
          <w:tcPr>
            <w:tcW w:type="dxa" w:w="1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Data Governance function owns; annual review</w:t>
            </w:r>
          </w:p>
        </w:tc>
      </w:tr>
      <w:tr>
        <w:tc>
          <w:tcPr>
            <w:tcW w:type="dxa" w:w="20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Legal Knowledge Graph</w:t>
            </w:r>
            <w:r>
              <w:rPr>
                <w:rFonts w:ascii="Arial" w:cs="Arial" w:eastAsia="Arial" w:hAnsi="Arial"/>
                <w:color w:val="2D2D2D"/>
                <w:sz w:val="20"/>
                <w:szCs w:val="20"/>
              </w:rPr>
              <w:t xml:space="preserve"/>
            </w:r>
          </w:p>
        </w:tc>
        <w:tc>
          <w:tcPr>
            <w:tcW w:type="dxa" w:w="20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Legal clauses (versioned), contract types, regulatory mappings, precedent outcomes</w:t>
            </w:r>
          </w:p>
        </w:tc>
        <w:tc>
          <w:tcPr>
            <w:tcW w:type="dxa" w:w="20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Legal Counsel modifications; regulatory updates</w:t>
            </w:r>
          </w:p>
        </w:tc>
        <w:tc>
          <w:tcPr>
            <w:tcW w:type="dxa" w:w="18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Agent ingests modifications (DA); Legal Counsel approves (H)</w:t>
            </w:r>
          </w:p>
        </w:tc>
        <w:tc>
          <w:tcPr>
            <w:tcW w:type="dxa" w:w="156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Legal Counsel owns; annual full review</w:t>
            </w:r>
          </w:p>
        </w:tc>
      </w:tr>
      <w:tr>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AI Governance KB</w:t>
            </w:r>
            <w:r>
              <w:rPr>
                <w:rFonts w:ascii="Arial" w:cs="Arial" w:eastAsia="Arial" w:hAnsi="Arial"/>
                <w:color w:val="2D2D2D"/>
                <w:sz w:val="20"/>
                <w:szCs w:val="20"/>
              </w:rPr>
              <w:t xml:space="preserve"/>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Model cards, validation evidence, bias testing results, drift thresholds, monitoring configurations</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Model development teams; independent validation; monitoring outputs</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Knowledge Staging Agent captures (DA); AI/MRM Governance validates (H)</w:t>
            </w:r>
          </w:p>
        </w:tc>
        <w:tc>
          <w:tcPr>
            <w:tcW w:type="dxa" w:w="1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AI/Model Risk Governance owns; per-model lifecycle</w:t>
            </w:r>
          </w:p>
        </w:tc>
      </w:tr>
      <w:tr>
        <w:tc>
          <w:tcPr>
            <w:tcW w:type="dxa" w:w="20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Decision Audit Log</w:t>
            </w:r>
            <w:r>
              <w:rPr>
                <w:rFonts w:ascii="Arial" w:cs="Arial" w:eastAsia="Arial" w:hAnsi="Arial"/>
                <w:color w:val="2D2D2D"/>
                <w:sz w:val="20"/>
                <w:szCs w:val="20"/>
              </w:rPr>
              <w:t xml:space="preserve"/>
            </w:r>
          </w:p>
        </w:tc>
        <w:tc>
          <w:tcPr>
            <w:tcW w:type="dxa" w:w="20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All decision events with full provenance</w:t>
            </w:r>
          </w:p>
        </w:tc>
        <w:tc>
          <w:tcPr>
            <w:tcW w:type="dxa" w:w="20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All phases—every DMN, agent, and human decision</w:t>
            </w:r>
          </w:p>
        </w:tc>
        <w:tc>
          <w:tcPr>
            <w:tcW w:type="dxa" w:w="18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Automated append-only write (A)</w:t>
            </w:r>
          </w:p>
        </w:tc>
        <w:tc>
          <w:tcPr>
            <w:tcW w:type="dxa" w:w="156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WORM storage; Internal Audit has read access; 7-year retention</w:t>
            </w:r>
          </w:p>
        </w:tc>
      </w:tr>
      <w:tr>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Vendor Intelligence KB</w:t>
            </w:r>
            <w:r>
              <w:rPr>
                <w:rFonts w:ascii="Arial" w:cs="Arial" w:eastAsia="Arial" w:hAnsi="Arial"/>
                <w:color w:val="2D2D2D"/>
                <w:sz w:val="20"/>
                <w:szCs w:val="20"/>
              </w:rPr>
              <w:t xml:space="preserve"/>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Vendor risk assessments, due diligence results, monitoring outcomes, incident history, termination rationale</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TPRM processes; monitoring agents; incident management</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Agent captures monitoring data (DA); TPRM validates (H)</w:t>
            </w:r>
          </w:p>
        </w:tc>
        <w:tc>
          <w:tcPr>
            <w:tcW w:type="dxa" w:w="1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Third-Party Risk Manager owns; per-vendor lifecycle</w:t>
            </w:r>
          </w:p>
        </w:tc>
      </w:tr>
    </w:tbl>
    <w:p>
      <w:pPr>
        <w:pStyle w:val="Heading2"/>
        <w:spacing w:before="300" w:after="120"/>
      </w:pPr>
      <w:r>
        <w:rPr>
          <w:rFonts w:ascii="Arial" w:cs="Arial" w:eastAsia="Arial" w:hAnsi="Arial"/>
          <w:b/>
          <w:bCs/>
          <w:color w:val="2C5F8A"/>
          <w:sz w:val="28"/>
          <w:szCs w:val="28"/>
        </w:rPr>
        <w:t xml:space="preserve">16.2 Knowledge Staging Workflow</w:t>
      </w:r>
    </w:p>
    <w:p>
      <w:pPr>
        <w:spacing w:after="120"/>
      </w:pPr>
      <w:r>
        <w:rPr>
          <w:rFonts w:ascii="Arial" w:cs="Arial" w:eastAsia="Arial" w:hAnsi="Arial"/>
          <w:color w:val="2D2D2D"/>
          <w:sz w:val="22"/>
          <w:szCs w:val="22"/>
        </w:rPr>
        <w:t xml:space="preserve">The Knowledge Staging Agent operates continuously across all phases:</w:t>
      </w:r>
    </w:p>
    <w:p>
      <w:pPr>
        <w:pStyle w:val="ListParagraph"/>
        <w:numPr>
          <w:ilvl w:val="0"/>
          <w:numId w:val="2"/>
        </w:numPr>
        <w:spacing w:after="60"/>
      </w:pPr>
      <w:r>
        <w:rPr>
          <w:rFonts w:ascii="Arial" w:cs="Arial" w:eastAsia="Arial" w:hAnsi="Arial"/>
          <w:color w:val="2D2D2D"/>
          <w:sz w:val="22"/>
          <w:szCs w:val="22"/>
        </w:rPr>
        <w:t xml:space="preserve"/>
      </w:r>
      <w:r>
        <w:rPr>
          <w:rFonts w:ascii="Arial" w:cs="Arial" w:eastAsia="Arial" w:hAnsi="Arial"/>
          <w:b/>
          <w:bCs/>
          <w:color w:val="2D2D2D"/>
          <w:sz w:val="22"/>
          <w:szCs w:val="22"/>
        </w:rPr>
        <w:t xml:space="preserve">Phase 1:</w:t>
      </w:r>
      <w:r>
        <w:rPr>
          <w:rFonts w:ascii="Arial" w:cs="Arial" w:eastAsia="Arial" w:hAnsi="Arial"/>
          <w:color w:val="2D2D2D"/>
          <w:sz w:val="22"/>
          <w:szCs w:val="22"/>
        </w:rPr>
        <w:t xml:space="preserve"> Stages reuse decision rationale, compliance scan results, and risk classification into Software Registry and Regulatory KB.</w:t>
      </w:r>
    </w:p>
    <w:p>
      <w:pPr>
        <w:pStyle w:val="ListParagraph"/>
        <w:numPr>
          <w:ilvl w:val="0"/>
          <w:numId w:val="2"/>
        </w:numPr>
        <w:spacing w:after="60"/>
      </w:pPr>
      <w:r>
        <w:rPr>
          <w:rFonts w:ascii="Arial" w:cs="Arial" w:eastAsia="Arial" w:hAnsi="Arial"/>
          <w:color w:val="2D2D2D"/>
          <w:sz w:val="22"/>
          <w:szCs w:val="22"/>
        </w:rPr>
        <w:t xml:space="preserve"/>
      </w:r>
      <w:r>
        <w:rPr>
          <w:rFonts w:ascii="Arial" w:cs="Arial" w:eastAsia="Arial" w:hAnsi="Arial"/>
          <w:b/>
          <w:bCs/>
          <w:color w:val="2D2D2D"/>
          <w:sz w:val="22"/>
          <w:szCs w:val="22"/>
        </w:rPr>
        <w:t xml:space="preserve">Phase 3:</w:t>
      </w:r>
      <w:r>
        <w:rPr>
          <w:rFonts w:ascii="Arial" w:cs="Arial" w:eastAsia="Arial" w:hAnsi="Arial"/>
          <w:color w:val="2D2D2D"/>
          <w:sz w:val="22"/>
          <w:szCs w:val="22"/>
        </w:rPr>
        <w:t xml:space="preserve"> Stages deduplication decisions, enrichment data, and Product Owner validations into Software Registry.</w:t>
      </w:r>
    </w:p>
    <w:p>
      <w:pPr>
        <w:pStyle w:val="ListParagraph"/>
        <w:numPr>
          <w:ilvl w:val="0"/>
          <w:numId w:val="2"/>
        </w:numPr>
        <w:spacing w:after="60"/>
      </w:pPr>
      <w:r>
        <w:rPr>
          <w:rFonts w:ascii="Arial" w:cs="Arial" w:eastAsia="Arial" w:hAnsi="Arial"/>
          <w:color w:val="2D2D2D"/>
          <w:sz w:val="22"/>
          <w:szCs w:val="22"/>
        </w:rPr>
        <w:t xml:space="preserve"/>
      </w:r>
      <w:r>
        <w:rPr>
          <w:rFonts w:ascii="Arial" w:cs="Arial" w:eastAsia="Arial" w:hAnsi="Arial"/>
          <w:b/>
          <w:bCs/>
          <w:color w:val="2D2D2D"/>
          <w:sz w:val="22"/>
          <w:szCs w:val="22"/>
        </w:rPr>
        <w:t xml:space="preserve">Phase 4:</w:t>
      </w:r>
      <w:r>
        <w:rPr>
          <w:rFonts w:ascii="Arial" w:cs="Arial" w:eastAsia="Arial" w:hAnsi="Arial"/>
          <w:color w:val="2D2D2D"/>
          <w:sz w:val="22"/>
          <w:szCs w:val="22"/>
        </w:rPr>
        <w:t xml:space="preserve"> Stages Go/No-Go rationale, Buy/Build decisions, and portfolio sequencing into Decision Audit Log.</w:t>
      </w:r>
    </w:p>
    <w:p>
      <w:pPr>
        <w:pStyle w:val="ListParagraph"/>
        <w:numPr>
          <w:ilvl w:val="0"/>
          <w:numId w:val="2"/>
        </w:numPr>
        <w:spacing w:after="60"/>
      </w:pPr>
      <w:r>
        <w:rPr>
          <w:rFonts w:ascii="Arial" w:cs="Arial" w:eastAsia="Arial" w:hAnsi="Arial"/>
          <w:color w:val="2D2D2D"/>
          <w:sz w:val="22"/>
          <w:szCs w:val="22"/>
        </w:rPr>
        <w:t xml:space="preserve"/>
      </w:r>
      <w:r>
        <w:rPr>
          <w:rFonts w:ascii="Arial" w:cs="Arial" w:eastAsia="Arial" w:hAnsi="Arial"/>
          <w:b/>
          <w:bCs/>
          <w:color w:val="2D2D2D"/>
          <w:sz w:val="22"/>
          <w:szCs w:val="22"/>
        </w:rPr>
        <w:t xml:space="preserve">Phase 5A:</w:t>
      </w:r>
      <w:r>
        <w:rPr>
          <w:rFonts w:ascii="Arial" w:cs="Arial" w:eastAsia="Arial" w:hAnsi="Arial"/>
          <w:color w:val="2D2D2D"/>
          <w:sz w:val="22"/>
          <w:szCs w:val="22"/>
        </w:rPr>
        <w:t xml:space="preserve"> Stages HLDD, observability design, PoC outcomes, and AI governance checklist into AI Governance KB and Software Registry.</w:t>
      </w:r>
    </w:p>
    <w:p>
      <w:pPr>
        <w:pStyle w:val="ListParagraph"/>
        <w:numPr>
          <w:ilvl w:val="0"/>
          <w:numId w:val="2"/>
        </w:numPr>
        <w:spacing w:after="60"/>
      </w:pPr>
      <w:r>
        <w:rPr>
          <w:rFonts w:ascii="Arial" w:cs="Arial" w:eastAsia="Arial" w:hAnsi="Arial"/>
          <w:color w:val="2D2D2D"/>
          <w:sz w:val="22"/>
          <w:szCs w:val="22"/>
        </w:rPr>
        <w:t xml:space="preserve"/>
      </w:r>
      <w:r>
        <w:rPr>
          <w:rFonts w:ascii="Arial" w:cs="Arial" w:eastAsia="Arial" w:hAnsi="Arial"/>
          <w:b/>
          <w:bCs/>
          <w:color w:val="2D2D2D"/>
          <w:sz w:val="22"/>
          <w:szCs w:val="22"/>
        </w:rPr>
        <w:t xml:space="preserve">Phase 5B:</w:t>
      </w:r>
      <w:r>
        <w:rPr>
          <w:rFonts w:ascii="Arial" w:cs="Arial" w:eastAsia="Arial" w:hAnsi="Arial"/>
          <w:color w:val="2D2D2D"/>
          <w:sz w:val="22"/>
          <w:szCs w:val="22"/>
        </w:rPr>
        <w:t xml:space="preserve"> Stages vendor risk assessments, due diligence results, contract terms, and Legal KG updates into Vendor Intelligence KB and Legal Knowledge Graph.</w:t>
      </w:r>
    </w:p>
    <w:p>
      <w:pPr>
        <w:pStyle w:val="ListParagraph"/>
        <w:numPr>
          <w:ilvl w:val="0"/>
          <w:numId w:val="2"/>
        </w:numPr>
        <w:spacing w:after="60"/>
      </w:pPr>
      <w:r>
        <w:rPr>
          <w:rFonts w:ascii="Arial" w:cs="Arial" w:eastAsia="Arial" w:hAnsi="Arial"/>
          <w:color w:val="2D2D2D"/>
          <w:sz w:val="22"/>
          <w:szCs w:val="22"/>
        </w:rPr>
        <w:t xml:space="preserve"/>
      </w:r>
      <w:r>
        <w:rPr>
          <w:rFonts w:ascii="Arial" w:cs="Arial" w:eastAsia="Arial" w:hAnsi="Arial"/>
          <w:b/>
          <w:bCs/>
          <w:color w:val="2D2D2D"/>
          <w:sz w:val="22"/>
          <w:szCs w:val="22"/>
        </w:rPr>
        <w:t xml:space="preserve">Phase 6:</w:t>
      </w:r>
      <w:r>
        <w:rPr>
          <w:rFonts w:ascii="Arial" w:cs="Arial" w:eastAsia="Arial" w:hAnsi="Arial"/>
          <w:color w:val="2D2D2D"/>
          <w:sz w:val="22"/>
          <w:szCs w:val="22"/>
        </w:rPr>
        <w:t xml:space="preserve"> Stages monitoring outcomes, drift alerts, incident reports, and termination rationale into all applicable knowledge bases.</w:t>
      </w:r>
    </w:p>
    <w:p>
      <w:pPr>
        <w:pBdr>
          <w:left w:val="single" w:color="0D7377" w:sz="12" w:space="8"/>
        </w:pBdr>
        <w:shd w:fill="E8F5E9" w:val="clear"/>
        <w:spacing w:before="160" w:after="160"/>
        <w:ind w:left="240" w:right="240"/>
      </w:pPr>
      <w:r>
        <w:rPr>
          <w:rFonts w:ascii="Arial" w:cs="Arial" w:eastAsia="Arial" w:hAnsi="Arial"/>
          <w:i/>
          <w:iCs/>
          <w:color w:val="2D2D2D"/>
          <w:sz w:val="22"/>
          <w:szCs w:val="22"/>
        </w:rPr>
        <w:t xml:space="preserve">Shadow Work Elimination: Every knowledge staging event replaces what would otherwise be an email, a spreadsheet update, or an ad hoc follow-up meeting. The Knowledge Staging Agent ensures that knowledge flows from its point of generation into its point of consumption without human intermediation.</w:t>
      </w:r>
    </w:p>
    <w:p>
      <w:r>
        <w:br w:type="page"/>
      </w:r>
    </w:p>
    <w:p>
      <w:pPr>
        <w:pStyle w:val="Heading1"/>
      </w:pPr>
      <w:r>
        <w:rPr>
          <w:rFonts w:ascii="Arial" w:cs="Arial" w:eastAsia="Arial" w:hAnsi="Arial"/>
          <w:b/>
          <w:bCs/>
          <w:color w:val="1B3A5C"/>
          <w:sz w:val="36"/>
          <w:szCs w:val="36"/>
        </w:rPr>
        <w:t xml:space="preserve">17. Observability and SLA Management</w:t>
      </w:r>
    </w:p>
    <w:p>
      <w:pPr>
        <w:pBdr>
          <w:left w:val="single" w:color="1B3A5C" w:sz="12" w:space="8"/>
        </w:pBdr>
        <w:shd w:fill="E8F4FD" w:val="clear"/>
        <w:spacing w:before="160" w:after="160"/>
        <w:ind w:left="240" w:right="240"/>
      </w:pPr>
      <w:r>
        <w:rPr>
          <w:rFonts w:ascii="Arial" w:cs="Arial" w:eastAsia="Arial" w:hAnsi="Arial"/>
          <w:i/>
          <w:iCs/>
          <w:color w:val="2D2D2D"/>
          <w:sz w:val="22"/>
          <w:szCs w:val="22"/>
        </w:rPr>
        <w:t xml:space="preserve">The BPMN model includes SLAs for major task categories, queue and backlog visibility, time-based escalation, and bottleneck detection. This enables continuous process improvement and targeted automation.</w:t>
      </w:r>
    </w:p>
    <w:p>
      <w:pPr>
        <w:pStyle w:val="Heading2"/>
        <w:spacing w:before="300" w:after="120"/>
      </w:pPr>
      <w:r>
        <w:rPr>
          <w:rFonts w:ascii="Arial" w:cs="Arial" w:eastAsia="Arial" w:hAnsi="Arial"/>
          <w:b/>
          <w:bCs/>
          <w:color w:val="2C5F8A"/>
          <w:sz w:val="28"/>
          <w:szCs w:val="28"/>
        </w:rPr>
        <w:t xml:space="preserve">17.1 SLA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800"/>
        <w:gridCol w:w="1200"/>
        <w:gridCol w:w="1560"/>
      </w:tblGrid>
      <w:tr>
        <w:tc>
          <w:tcPr>
            <w:tcW w:type="dxa" w:w="220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KPI / SLA</w:t>
            </w:r>
          </w:p>
        </w:tc>
        <w:tc>
          <w:tcPr>
            <w:tcW w:type="dxa" w:w="160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c>
          <w:tcPr>
            <w:tcW w:type="dxa" w:w="280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Measurement Method</w:t>
            </w:r>
          </w:p>
        </w:tc>
        <w:tc>
          <w:tcPr>
            <w:tcW w:type="dxa" w:w="120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Cadence</w:t>
            </w:r>
          </w:p>
        </w:tc>
        <w:tc>
          <w:tcPr>
            <w:tcW w:type="dxa" w:w="156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Task Type</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Intake-to-routing completion</w:t>
            </w:r>
            <w:r>
              <w:rPr>
                <w:rFonts w:ascii="Arial" w:cs="Arial" w:eastAsia="Arial" w:hAnsi="Arial"/>
                <w:color w:val="2D2D2D"/>
                <w:sz w:val="20"/>
                <w:szCs w:val="20"/>
              </w:rPr>
              <w:t xml:space="preserve"/>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 2 business days</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Time from intake bot session start to DMN-01 pathway assignment</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Weekly</w:t>
            </w:r>
          </w:p>
        </w:tc>
        <w:tc>
          <w:tcPr>
            <w:tcW w:type="dxa" w:w="1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A</w:t>
            </w:r>
          </w:p>
        </w:tc>
      </w:tr>
      <w:tr>
        <w:tc>
          <w:tcPr>
            <w:tcW w:type="dxa" w:w="22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Completeness rate at first submission</w:t>
            </w:r>
            <w:r>
              <w:rPr>
                <w:rFonts w:ascii="Arial" w:cs="Arial" w:eastAsia="Arial" w:hAnsi="Arial"/>
                <w:color w:val="2D2D2D"/>
                <w:sz w:val="20"/>
                <w:szCs w:val="20"/>
              </w:rPr>
              <w:t xml:space="preserve"/>
            </w:r>
          </w:p>
        </w:tc>
        <w:tc>
          <w:tcPr>
            <w:tcW w:type="dxa" w:w="16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 85%</w:t>
            </w:r>
          </w:p>
        </w:tc>
        <w:tc>
          <w:tcPr>
            <w:tcW w:type="dxa" w:w="28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 of intakes passing DMN-02 without return loop</w:t>
            </w:r>
          </w:p>
        </w:tc>
        <w:tc>
          <w:tcPr>
            <w:tcW w:type="dxa" w:w="12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Monthly</w:t>
            </w:r>
          </w:p>
        </w:tc>
        <w:tc>
          <w:tcPr>
            <w:tcW w:type="dxa" w:w="156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A</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Duplicate/reuse detection rate</w:t>
            </w:r>
            <w:r>
              <w:rPr>
                <w:rFonts w:ascii="Arial" w:cs="Arial" w:eastAsia="Arial" w:hAnsi="Arial"/>
                <w:color w:val="2D2D2D"/>
                <w:sz w:val="20"/>
                <w:szCs w:val="20"/>
              </w:rPr>
              <w:t xml:space="preserve"/>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 30% resolved via Registry</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 of intakes closed via DMN-03/DMN-15 before portfolio entry</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Quarterly</w:t>
            </w:r>
          </w:p>
        </w:tc>
        <w:tc>
          <w:tcPr>
            <w:tcW w:type="dxa" w:w="1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A</w:t>
            </w:r>
          </w:p>
        </w:tc>
      </w:tr>
      <w:tr>
        <w:tc>
          <w:tcPr>
            <w:tcW w:type="dxa" w:w="22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Go/No-Go decision cycle</w:t>
            </w:r>
            <w:r>
              <w:rPr>
                <w:rFonts w:ascii="Arial" w:cs="Arial" w:eastAsia="Arial" w:hAnsi="Arial"/>
                <w:color w:val="2D2D2D"/>
                <w:sz w:val="20"/>
                <w:szCs w:val="20"/>
              </w:rPr>
              <w:t xml:space="preserve"/>
            </w:r>
          </w:p>
        </w:tc>
        <w:tc>
          <w:tcPr>
            <w:tcW w:type="dxa" w:w="16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 5 business days</w:t>
            </w:r>
          </w:p>
        </w:tc>
        <w:tc>
          <w:tcPr>
            <w:tcW w:type="dxa" w:w="28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Calendar time from portfolio submission to Council decision</w:t>
            </w:r>
          </w:p>
        </w:tc>
        <w:tc>
          <w:tcPr>
            <w:tcW w:type="dxa" w:w="12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Weekly</w:t>
            </w:r>
          </w:p>
        </w:tc>
        <w:tc>
          <w:tcPr>
            <w:tcW w:type="dxa" w:w="156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H</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Buy pathway: RFP-to-vendor-selection</w:t>
            </w:r>
            <w:r>
              <w:rPr>
                <w:rFonts w:ascii="Arial" w:cs="Arial" w:eastAsia="Arial" w:hAnsi="Arial"/>
                <w:color w:val="2D2D2D"/>
                <w:sz w:val="20"/>
                <w:szCs w:val="20"/>
              </w:rPr>
              <w:t xml:space="preserve"/>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 30 days (Tier 3–4); ≤ 60 (Tier 1–2)</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Calendar time from RFP issuance to selection recommendation</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Monthly</w:t>
            </w:r>
          </w:p>
        </w:tc>
        <w:tc>
          <w:tcPr>
            <w:tcW w:type="dxa" w:w="1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H</w:t>
            </w:r>
          </w:p>
        </w:tc>
      </w:tr>
      <w:tr>
        <w:tc>
          <w:tcPr>
            <w:tcW w:type="dxa" w:w="22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TPRM due diligence completion</w:t>
            </w:r>
            <w:r>
              <w:rPr>
                <w:rFonts w:ascii="Arial" w:cs="Arial" w:eastAsia="Arial" w:hAnsi="Arial"/>
                <w:color w:val="2D2D2D"/>
                <w:sz w:val="20"/>
                <w:szCs w:val="20"/>
              </w:rPr>
              <w:t xml:space="preserve"/>
            </w:r>
          </w:p>
        </w:tc>
        <w:tc>
          <w:tcPr>
            <w:tcW w:type="dxa" w:w="16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100% tiered and DD-completed before contract</w:t>
            </w:r>
          </w:p>
        </w:tc>
        <w:tc>
          <w:tcPr>
            <w:tcW w:type="dxa" w:w="28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Audit of vendor onboarding records; zero exceptions</w:t>
            </w:r>
          </w:p>
        </w:tc>
        <w:tc>
          <w:tcPr>
            <w:tcW w:type="dxa" w:w="12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Monthly</w:t>
            </w:r>
          </w:p>
        </w:tc>
        <w:tc>
          <w:tcPr>
            <w:tcW w:type="dxa" w:w="156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H</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AI Gov checklist completion</w:t>
            </w:r>
            <w:r>
              <w:rPr>
                <w:rFonts w:ascii="Arial" w:cs="Arial" w:eastAsia="Arial" w:hAnsi="Arial"/>
                <w:color w:val="2D2D2D"/>
                <w:sz w:val="20"/>
                <w:szCs w:val="20"/>
              </w:rPr>
              <w:t xml:space="preserve"/>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100% Tier 1/2 with approved checklist before production</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Audit of model inventory against deployed AI assets</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Quarterly</w:t>
            </w:r>
          </w:p>
        </w:tc>
        <w:tc>
          <w:tcPr>
            <w:tcW w:type="dxa" w:w="1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H</w:t>
            </w:r>
          </w:p>
        </w:tc>
      </w:tr>
      <w:tr>
        <w:tc>
          <w:tcPr>
            <w:tcW w:type="dxa" w:w="22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Vendor monitoring SLA adherence</w:t>
            </w:r>
            <w:r>
              <w:rPr>
                <w:rFonts w:ascii="Arial" w:cs="Arial" w:eastAsia="Arial" w:hAnsi="Arial"/>
                <w:color w:val="2D2D2D"/>
                <w:sz w:val="20"/>
                <w:szCs w:val="20"/>
              </w:rPr>
              <w:t xml:space="preserve"/>
            </w:r>
          </w:p>
        </w:tc>
        <w:tc>
          <w:tcPr>
            <w:tcW w:type="dxa" w:w="16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 95% on schedule per DMN-14</w:t>
            </w:r>
          </w:p>
        </w:tc>
        <w:tc>
          <w:tcPr>
            <w:tcW w:type="dxa" w:w="28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TPRM monitoring schedule completion rate</w:t>
            </w:r>
          </w:p>
        </w:tc>
        <w:tc>
          <w:tcPr>
            <w:tcW w:type="dxa" w:w="12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Monthly</w:t>
            </w:r>
          </w:p>
        </w:tc>
        <w:tc>
          <w:tcPr>
            <w:tcW w:type="dxa" w:w="156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A / H</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Regulatory audit readiness</w:t>
            </w:r>
            <w:r>
              <w:rPr>
                <w:rFonts w:ascii="Arial" w:cs="Arial" w:eastAsia="Arial" w:hAnsi="Arial"/>
                <w:color w:val="2D2D2D"/>
                <w:sz w:val="20"/>
                <w:szCs w:val="20"/>
              </w:rPr>
              <w:t xml:space="preserve"/>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Full log retrievable within 24 hours</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Periodic internal audit drill</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Annual drill</w:t>
            </w:r>
          </w:p>
        </w:tc>
        <w:tc>
          <w:tcPr>
            <w:tcW w:type="dxa" w:w="1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A</w:t>
            </w:r>
          </w:p>
        </w:tc>
      </w:tr>
      <w:tr>
        <w:tc>
          <w:tcPr>
            <w:tcW w:type="dxa" w:w="22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AI model performance within bounds</w:t>
            </w:r>
            <w:r>
              <w:rPr>
                <w:rFonts w:ascii="Arial" w:cs="Arial" w:eastAsia="Arial" w:hAnsi="Arial"/>
                <w:color w:val="2D2D2D"/>
                <w:sz w:val="20"/>
                <w:szCs w:val="20"/>
              </w:rPr>
              <w:t xml:space="preserve"/>
            </w:r>
          </w:p>
        </w:tc>
        <w:tc>
          <w:tcPr>
            <w:tcW w:type="dxa" w:w="16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100% Tier 1/2 within drift thresholds</w:t>
            </w:r>
          </w:p>
        </w:tc>
        <w:tc>
          <w:tcPr>
            <w:tcW w:type="dxa" w:w="28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Automated monitoring; monthly MRM Committee review</w:t>
            </w:r>
          </w:p>
        </w:tc>
        <w:tc>
          <w:tcPr>
            <w:tcW w:type="dxa" w:w="12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Monthly</w:t>
            </w:r>
          </w:p>
        </w:tc>
        <w:tc>
          <w:tcPr>
            <w:tcW w:type="dxa" w:w="156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A / DA</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Shadow IT detection-to-triage</w:t>
            </w:r>
            <w:r>
              <w:rPr>
                <w:rFonts w:ascii="Arial" w:cs="Arial" w:eastAsia="Arial" w:hAnsi="Arial"/>
                <w:color w:val="2D2D2D"/>
                <w:sz w:val="20"/>
                <w:szCs w:val="20"/>
              </w:rPr>
              <w:t xml:space="preserve"/>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 5 business days</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SSO/spend detection to DMN triage completion</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Weekly</w:t>
            </w:r>
          </w:p>
        </w:tc>
        <w:tc>
          <w:tcPr>
            <w:tcW w:type="dxa" w:w="1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A</w:t>
            </w:r>
          </w:p>
        </w:tc>
      </w:tr>
      <w:tr>
        <w:tc>
          <w:tcPr>
            <w:tcW w:type="dxa" w:w="22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Fast-track cycle time</w:t>
            </w:r>
            <w:r>
              <w:rPr>
                <w:rFonts w:ascii="Arial" w:cs="Arial" w:eastAsia="Arial" w:hAnsi="Arial"/>
                <w:color w:val="2D2D2D"/>
                <w:sz w:val="20"/>
                <w:szCs w:val="20"/>
              </w:rPr>
              <w:t xml:space="preserve"/>
            </w:r>
          </w:p>
        </w:tc>
        <w:tc>
          <w:tcPr>
            <w:tcW w:type="dxa" w:w="16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 5 business days</w:t>
            </w:r>
          </w:p>
        </w:tc>
        <w:tc>
          <w:tcPr>
            <w:tcW w:type="dxa" w:w="28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Intake to ITSM fulfillment for fast-track pathway</w:t>
            </w:r>
          </w:p>
        </w:tc>
        <w:tc>
          <w:tcPr>
            <w:tcW w:type="dxa" w:w="12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Weekly</w:t>
            </w:r>
          </w:p>
        </w:tc>
        <w:tc>
          <w:tcPr>
            <w:tcW w:type="dxa" w:w="156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A</w:t>
            </w:r>
          </w:p>
        </w:tc>
      </w:tr>
    </w:tbl>
    <w:p>
      <w:pPr>
        <w:pStyle w:val="Heading2"/>
        <w:spacing w:before="300" w:after="120"/>
      </w:pPr>
      <w:r>
        <w:rPr>
          <w:rFonts w:ascii="Arial" w:cs="Arial" w:eastAsia="Arial" w:hAnsi="Arial"/>
          <w:b/>
          <w:bCs/>
          <w:color w:val="2C5F8A"/>
          <w:sz w:val="28"/>
          <w:szCs w:val="28"/>
        </w:rPr>
        <w:t xml:space="preserve">17.2 Queue and Backlog Visibility</w:t>
      </w:r>
    </w:p>
    <w:p>
      <w:pPr>
        <w:spacing w:after="120"/>
      </w:pPr>
      <w:r>
        <w:rPr>
          <w:rFonts w:ascii="Arial" w:cs="Arial" w:eastAsia="Arial" w:hAnsi="Arial"/>
          <w:color w:val="2D2D2D"/>
          <w:sz w:val="22"/>
          <w:szCs w:val="22"/>
        </w:rPr>
        <w:t xml:space="preserve">All requestors, approvers, and reviewers have real-time visibility into:</w:t>
      </w:r>
    </w:p>
    <w:p>
      <w:pPr>
        <w:pStyle w:val="ListParagraph"/>
        <w:numPr>
          <w:ilvl w:val="0"/>
          <w:numId w:val="2"/>
        </w:numPr>
        <w:spacing w:after="60"/>
      </w:pPr>
      <w:r>
        <w:rPr>
          <w:rFonts w:ascii="Arial" w:cs="Arial" w:eastAsia="Arial" w:hAnsi="Arial"/>
          <w:color w:val="2D2D2D"/>
          <w:sz w:val="22"/>
          <w:szCs w:val="22"/>
        </w:rPr>
        <w:t xml:space="preserve">Request status, pipeline position, and pending actions via a shared portal. SLA clocks are visible.</w:t>
      </w:r>
    </w:p>
    <w:p>
      <w:pPr>
        <w:pStyle w:val="ListParagraph"/>
        <w:numPr>
          <w:ilvl w:val="0"/>
          <w:numId w:val="2"/>
        </w:numPr>
        <w:spacing w:after="60"/>
      </w:pPr>
      <w:r>
        <w:rPr>
          <w:rFonts w:ascii="Arial" w:cs="Arial" w:eastAsia="Arial" w:hAnsi="Arial"/>
          <w:color w:val="2D2D2D"/>
          <w:sz w:val="22"/>
          <w:szCs w:val="22"/>
        </w:rPr>
        <w:t xml:space="preserve">Portfolio Governance Council queue depth, average wait time, and upcoming review cycle dates.</w:t>
      </w:r>
    </w:p>
    <w:p>
      <w:pPr>
        <w:pStyle w:val="ListParagraph"/>
        <w:numPr>
          <w:ilvl w:val="0"/>
          <w:numId w:val="2"/>
        </w:numPr>
        <w:spacing w:after="60"/>
      </w:pPr>
      <w:r>
        <w:rPr>
          <w:rFonts w:ascii="Arial" w:cs="Arial" w:eastAsia="Arial" w:hAnsi="Arial"/>
          <w:color w:val="2D2D2D"/>
          <w:sz w:val="22"/>
          <w:szCs w:val="22"/>
        </w:rPr>
        <w:t xml:space="preserve">Procurement pipeline: RFP status, vendor evaluation progress, and contracting milestones.</w:t>
      </w:r>
    </w:p>
    <w:p>
      <w:pPr>
        <w:pStyle w:val="ListParagraph"/>
        <w:numPr>
          <w:ilvl w:val="0"/>
          <w:numId w:val="2"/>
        </w:numPr>
        <w:spacing w:after="60"/>
      </w:pPr>
      <w:r>
        <w:rPr>
          <w:rFonts w:ascii="Arial" w:cs="Arial" w:eastAsia="Arial" w:hAnsi="Arial"/>
          <w:color w:val="2D2D2D"/>
          <w:sz w:val="22"/>
          <w:szCs w:val="22"/>
        </w:rPr>
        <w:t xml:space="preserve">Build pipeline: sprint assignments, PoC status, gate outcomes, and release readiness.</w:t>
      </w:r>
    </w:p>
    <w:p>
      <w:pPr>
        <w:pStyle w:val="Heading2"/>
        <w:spacing w:before="300" w:after="120"/>
      </w:pPr>
      <w:r>
        <w:rPr>
          <w:rFonts w:ascii="Arial" w:cs="Arial" w:eastAsia="Arial" w:hAnsi="Arial"/>
          <w:b/>
          <w:bCs/>
          <w:color w:val="2C5F8A"/>
          <w:sz w:val="28"/>
          <w:szCs w:val="28"/>
        </w:rPr>
        <w:t xml:space="preserve">17.3 Time-Based Escalation Rules</w:t>
      </w:r>
    </w:p>
    <w:p>
      <w:pPr>
        <w:spacing w:after="120"/>
      </w:pPr>
      <w:r>
        <w:rPr>
          <w:rFonts w:ascii="Arial" w:cs="Arial" w:eastAsia="Arial" w:hAnsi="Arial"/>
          <w:color w:val="2D2D2D"/>
          <w:sz w:val="22"/>
          <w:szCs w:val="22"/>
        </w:rPr>
        <w:t xml:space="preserve">Escalation rules are embedded in the BPMN as timer boundary events:</w:t>
      </w:r>
    </w:p>
    <w:p>
      <w:pPr>
        <w:pStyle w:val="ListParagraph"/>
        <w:numPr>
          <w:ilvl w:val="0"/>
          <w:numId w:val="2"/>
        </w:numPr>
        <w:spacing w:after="60"/>
      </w:pPr>
      <w:r>
        <w:rPr>
          <w:rFonts w:ascii="Arial" w:cs="Arial" w:eastAsia="Arial" w:hAnsi="Arial"/>
          <w:color w:val="2D2D2D"/>
          <w:sz w:val="22"/>
          <w:szCs w:val="22"/>
        </w:rPr>
        <w:t xml:space="preserve"/>
      </w:r>
      <w:r>
        <w:rPr>
          <w:rFonts w:ascii="Arial" w:cs="Arial" w:eastAsia="Arial" w:hAnsi="Arial"/>
          <w:b/>
          <w:bCs/>
          <w:color w:val="2D2D2D"/>
          <w:sz w:val="22"/>
          <w:szCs w:val="22"/>
        </w:rPr>
        <w:t xml:space="preserve">SLA breach warning (80% elapsed):</w:t>
      </w:r>
      <w:r>
        <w:rPr>
          <w:rFonts w:ascii="Arial" w:cs="Arial" w:eastAsia="Arial" w:hAnsi="Arial"/>
          <w:color w:val="2D2D2D"/>
          <w:sz w:val="22"/>
          <w:szCs w:val="22"/>
        </w:rPr>
        <w:t xml:space="preserve"> Automated notification to task owner and their manager role. </w:t>
      </w:r>
      <w:r>
        <w:rPr>
          <w:rFonts w:ascii="Arial" w:cs="Arial" w:eastAsia="Arial" w:hAnsi="Arial"/>
          <w:b/>
          <w:bCs/>
          <w:color w:val="2D2D2D"/>
          <w:sz w:val="22"/>
          <w:szCs w:val="22"/>
        </w:rPr>
        <w:t xml:space="preserve">(A)</w:t>
      </w:r>
      <w:r>
        <w:rPr>
          <w:rFonts w:ascii="Arial" w:cs="Arial" w:eastAsia="Arial" w:hAnsi="Arial"/>
          <w:color w:val="2D2D2D"/>
          <w:sz w:val="22"/>
          <w:szCs w:val="22"/>
        </w:rPr>
        <w:t xml:space="preserve"/>
      </w:r>
    </w:p>
    <w:p>
      <w:pPr>
        <w:pStyle w:val="ListParagraph"/>
        <w:numPr>
          <w:ilvl w:val="0"/>
          <w:numId w:val="2"/>
        </w:numPr>
        <w:spacing w:after="60"/>
      </w:pPr>
      <w:r>
        <w:rPr>
          <w:rFonts w:ascii="Arial" w:cs="Arial" w:eastAsia="Arial" w:hAnsi="Arial"/>
          <w:color w:val="2D2D2D"/>
          <w:sz w:val="22"/>
          <w:szCs w:val="22"/>
        </w:rPr>
        <w:t xml:space="preserve"/>
      </w:r>
      <w:r>
        <w:rPr>
          <w:rFonts w:ascii="Arial" w:cs="Arial" w:eastAsia="Arial" w:hAnsi="Arial"/>
          <w:b/>
          <w:bCs/>
          <w:color w:val="2D2D2D"/>
          <w:sz w:val="22"/>
          <w:szCs w:val="22"/>
        </w:rPr>
        <w:t xml:space="preserve">SLA breach (100% elapsed):</w:t>
      </w:r>
      <w:r>
        <w:rPr>
          <w:rFonts w:ascii="Arial" w:cs="Arial" w:eastAsia="Arial" w:hAnsi="Arial"/>
          <w:color w:val="2D2D2D"/>
          <w:sz w:val="22"/>
          <w:szCs w:val="22"/>
        </w:rPr>
        <w:t xml:space="preserve"> Escalation to next governance level; request flagged in portfolio dashboard. </w:t>
      </w:r>
      <w:r>
        <w:rPr>
          <w:rFonts w:ascii="Arial" w:cs="Arial" w:eastAsia="Arial" w:hAnsi="Arial"/>
          <w:b/>
          <w:bCs/>
          <w:color w:val="2D2D2D"/>
          <w:sz w:val="22"/>
          <w:szCs w:val="22"/>
        </w:rPr>
        <w:t xml:space="preserve">(A)</w:t>
      </w:r>
      <w:r>
        <w:rPr>
          <w:rFonts w:ascii="Arial" w:cs="Arial" w:eastAsia="Arial" w:hAnsi="Arial"/>
          <w:color w:val="2D2D2D"/>
          <w:sz w:val="22"/>
          <w:szCs w:val="22"/>
        </w:rPr>
        <w:t xml:space="preserve"/>
      </w:r>
    </w:p>
    <w:p>
      <w:pPr>
        <w:pStyle w:val="ListParagraph"/>
        <w:numPr>
          <w:ilvl w:val="0"/>
          <w:numId w:val="2"/>
        </w:numPr>
        <w:spacing w:after="60"/>
      </w:pPr>
      <w:r>
        <w:rPr>
          <w:rFonts w:ascii="Arial" w:cs="Arial" w:eastAsia="Arial" w:hAnsi="Arial"/>
          <w:color w:val="2D2D2D"/>
          <w:sz w:val="22"/>
          <w:szCs w:val="22"/>
        </w:rPr>
        <w:t xml:space="preserve"/>
      </w:r>
      <w:r>
        <w:rPr>
          <w:rFonts w:ascii="Arial" w:cs="Arial" w:eastAsia="Arial" w:hAnsi="Arial"/>
          <w:b/>
          <w:bCs/>
          <w:color w:val="2D2D2D"/>
          <w:sz w:val="22"/>
          <w:szCs w:val="22"/>
        </w:rPr>
        <w:t xml:space="preserve">Chronic SLA breach (3+ consecutive):</w:t>
      </w:r>
      <w:r>
        <w:rPr>
          <w:rFonts w:ascii="Arial" w:cs="Arial" w:eastAsia="Arial" w:hAnsi="Arial"/>
          <w:color w:val="2D2D2D"/>
          <w:sz w:val="22"/>
          <w:szCs w:val="22"/>
        </w:rPr>
        <w:t xml:space="preserve"> Process improvement review triggered; bottleneck analysis report auto-generated. </w:t>
      </w:r>
      <w:r>
        <w:rPr>
          <w:rFonts w:ascii="Arial" w:cs="Arial" w:eastAsia="Arial" w:hAnsi="Arial"/>
          <w:b/>
          <w:bCs/>
          <w:color w:val="2D2D2D"/>
          <w:sz w:val="22"/>
          <w:szCs w:val="22"/>
        </w:rPr>
        <w:t xml:space="preserve">(DA)</w:t>
      </w:r>
      <w:r>
        <w:rPr>
          <w:rFonts w:ascii="Arial" w:cs="Arial" w:eastAsia="Arial" w:hAnsi="Arial"/>
          <w:color w:val="2D2D2D"/>
          <w:sz w:val="22"/>
          <w:szCs w:val="22"/>
        </w:rPr>
        <w:t xml:space="preserve"/>
      </w:r>
    </w:p>
    <w:p>
      <w:pPr>
        <w:pStyle w:val="Heading2"/>
        <w:spacing w:before="300" w:after="120"/>
      </w:pPr>
      <w:r>
        <w:rPr>
          <w:rFonts w:ascii="Arial" w:cs="Arial" w:eastAsia="Arial" w:hAnsi="Arial"/>
          <w:b/>
          <w:bCs/>
          <w:color w:val="2C5F8A"/>
          <w:sz w:val="28"/>
          <w:szCs w:val="28"/>
        </w:rPr>
        <w:t xml:space="preserve">17.4 Bottleneck Detection</w:t>
      </w:r>
    </w:p>
    <w:p>
      <w:pPr>
        <w:spacing w:after="120"/>
      </w:pPr>
      <w:r>
        <w:rPr>
          <w:rFonts w:ascii="Arial" w:cs="Arial" w:eastAsia="Arial" w:hAnsi="Arial"/>
          <w:color w:val="2D2D2D"/>
          <w:sz w:val="22"/>
          <w:szCs w:val="22"/>
        </w:rPr>
        <w:t xml:space="preserve">The Monitoring and Alerting Agent continuously analyzes process execution data to identify:</w:t>
      </w:r>
    </w:p>
    <w:p>
      <w:pPr>
        <w:pStyle w:val="ListParagraph"/>
        <w:numPr>
          <w:ilvl w:val="0"/>
          <w:numId w:val="2"/>
        </w:numPr>
        <w:spacing w:after="60"/>
      </w:pPr>
      <w:r>
        <w:rPr>
          <w:rFonts w:ascii="Arial" w:cs="Arial" w:eastAsia="Arial" w:hAnsi="Arial"/>
          <w:color w:val="2D2D2D"/>
          <w:sz w:val="22"/>
          <w:szCs w:val="22"/>
        </w:rPr>
        <w:t xml:space="preserve">Tasks with average completion time exceeding SLA by &gt;50%. </w:t>
      </w:r>
      <w:r>
        <w:rPr>
          <w:rFonts w:ascii="Arial" w:cs="Arial" w:eastAsia="Arial" w:hAnsi="Arial"/>
          <w:b/>
          <w:bCs/>
          <w:color w:val="2D2D2D"/>
          <w:sz w:val="22"/>
          <w:szCs w:val="22"/>
        </w:rPr>
        <w:t xml:space="preserve">(DA)</w:t>
      </w:r>
      <w:r>
        <w:rPr>
          <w:rFonts w:ascii="Arial" w:cs="Arial" w:eastAsia="Arial" w:hAnsi="Arial"/>
          <w:color w:val="2D2D2D"/>
          <w:sz w:val="22"/>
          <w:szCs w:val="22"/>
        </w:rPr>
        <w:t xml:space="preserve"/>
      </w:r>
    </w:p>
    <w:p>
      <w:pPr>
        <w:pStyle w:val="ListParagraph"/>
        <w:numPr>
          <w:ilvl w:val="0"/>
          <w:numId w:val="2"/>
        </w:numPr>
        <w:spacing w:after="60"/>
      </w:pPr>
      <w:r>
        <w:rPr>
          <w:rFonts w:ascii="Arial" w:cs="Arial" w:eastAsia="Arial" w:hAnsi="Arial"/>
          <w:color w:val="2D2D2D"/>
          <w:sz w:val="22"/>
          <w:szCs w:val="22"/>
        </w:rPr>
        <w:t xml:space="preserve">Queue depth anomalies (&gt;2 standard deviations from rolling 30-day average). </w:t>
      </w:r>
      <w:r>
        <w:rPr>
          <w:rFonts w:ascii="Arial" w:cs="Arial" w:eastAsia="Arial" w:hAnsi="Arial"/>
          <w:b/>
          <w:bCs/>
          <w:color w:val="2D2D2D"/>
          <w:sz w:val="22"/>
          <w:szCs w:val="22"/>
        </w:rPr>
        <w:t xml:space="preserve">(A)</w:t>
      </w:r>
      <w:r>
        <w:rPr>
          <w:rFonts w:ascii="Arial" w:cs="Arial" w:eastAsia="Arial" w:hAnsi="Arial"/>
          <w:color w:val="2D2D2D"/>
          <w:sz w:val="22"/>
          <w:szCs w:val="22"/>
        </w:rPr>
        <w:t xml:space="preserve"/>
      </w:r>
    </w:p>
    <w:p>
      <w:pPr>
        <w:pStyle w:val="ListParagraph"/>
        <w:numPr>
          <w:ilvl w:val="0"/>
          <w:numId w:val="2"/>
        </w:numPr>
        <w:spacing w:after="60"/>
      </w:pPr>
      <w:r>
        <w:rPr>
          <w:rFonts w:ascii="Arial" w:cs="Arial" w:eastAsia="Arial" w:hAnsi="Arial"/>
          <w:color w:val="2D2D2D"/>
          <w:sz w:val="22"/>
          <w:szCs w:val="22"/>
        </w:rPr>
        <w:t xml:space="preserve">Role-based bottlenecks: roles consistently appearing as the longest-duration step in the critical path. </w:t>
      </w:r>
      <w:r>
        <w:rPr>
          <w:rFonts w:ascii="Arial" w:cs="Arial" w:eastAsia="Arial" w:hAnsi="Arial"/>
          <w:b/>
          <w:bCs/>
          <w:color w:val="2D2D2D"/>
          <w:sz w:val="22"/>
          <w:szCs w:val="22"/>
        </w:rPr>
        <w:t xml:space="preserve">(DA)</w:t>
      </w:r>
      <w:r>
        <w:rPr>
          <w:rFonts w:ascii="Arial" w:cs="Arial" w:eastAsia="Arial" w:hAnsi="Arial"/>
          <w:color w:val="2D2D2D"/>
          <w:sz w:val="22"/>
          <w:szCs w:val="22"/>
        </w:rPr>
        <w:t xml:space="preserve"/>
      </w:r>
    </w:p>
    <w:p>
      <w:pPr>
        <w:pStyle w:val="ListParagraph"/>
        <w:numPr>
          <w:ilvl w:val="0"/>
          <w:numId w:val="2"/>
        </w:numPr>
        <w:spacing w:after="60"/>
      </w:pPr>
      <w:r>
        <w:rPr>
          <w:rFonts w:ascii="Arial" w:cs="Arial" w:eastAsia="Arial" w:hAnsi="Arial"/>
          <w:color w:val="2D2D2D"/>
          <w:sz w:val="22"/>
          <w:szCs w:val="22"/>
        </w:rPr>
        <w:t xml:space="preserve">Seasonal or cyclical patterns that predict future bottlenecks. </w:t>
      </w:r>
      <w:r>
        <w:rPr>
          <w:rFonts w:ascii="Arial" w:cs="Arial" w:eastAsia="Arial" w:hAnsi="Arial"/>
          <w:b/>
          <w:bCs/>
          <w:color w:val="2D2D2D"/>
          <w:sz w:val="22"/>
          <w:szCs w:val="22"/>
        </w:rPr>
        <w:t xml:space="preserve">(DA)</w:t>
      </w:r>
      <w:r>
        <w:rPr>
          <w:rFonts w:ascii="Arial" w:cs="Arial" w:eastAsia="Arial" w:hAnsi="Arial"/>
          <w:color w:val="2D2D2D"/>
          <w:sz w:val="22"/>
          <w:szCs w:val="22"/>
        </w:rPr>
        <w:t xml:space="preserve"/>
      </w:r>
    </w:p>
    <w:p>
      <w:pPr>
        <w:spacing w:after="120"/>
      </w:pPr>
      <w:r>
        <w:rPr>
          <w:rFonts w:ascii="Arial" w:cs="Arial" w:eastAsia="Arial" w:hAnsi="Arial"/>
          <w:color w:val="2D2D2D"/>
          <w:sz w:val="22"/>
          <w:szCs w:val="22"/>
        </w:rPr>
        <w:t xml:space="preserve">Bottleneck detection outputs feed directly into the Phased Automation roadmap (Section 18).</w:t>
      </w:r>
    </w:p>
    <w:p>
      <w:r>
        <w:br w:type="page"/>
      </w:r>
    </w:p>
    <w:p>
      <w:pPr>
        <w:pStyle w:val="Heading1"/>
      </w:pPr>
      <w:r>
        <w:rPr>
          <w:rFonts w:ascii="Arial" w:cs="Arial" w:eastAsia="Arial" w:hAnsi="Arial"/>
          <w:b/>
          <w:bCs/>
          <w:color w:val="1B3A5C"/>
          <w:sz w:val="36"/>
          <w:szCs w:val="36"/>
        </w:rPr>
        <w:t xml:space="preserve">18. Phased Automation Roadmap</w:t>
      </w:r>
    </w:p>
    <w:p>
      <w:pPr>
        <w:pBdr>
          <w:left w:val="single" w:color="E65100" w:sz="12" w:space="8"/>
        </w:pBdr>
        <w:shd w:fill="FFF3E0" w:val="clear"/>
        <w:spacing w:before="160" w:after="160"/>
        <w:ind w:left="240" w:right="240"/>
      </w:pPr>
      <w:r>
        <w:rPr>
          <w:rFonts w:ascii="Arial" w:cs="Arial" w:eastAsia="Arial" w:hAnsi="Arial"/>
          <w:i/>
          <w:iCs/>
          <w:color w:val="2D2D2D"/>
          <w:sz w:val="22"/>
          <w:szCs w:val="22"/>
        </w:rPr>
        <w:t xml:space="preserve">Not everything is automated immediately. The system identifies recurring friction, gradually automates deterministic steps, and reduces manual overhead over time. Automation is evidence-driven.</w:t>
      </w:r>
    </w:p>
    <w:p>
      <w:pPr>
        <w:pStyle w:val="Heading2"/>
        <w:spacing w:before="300" w:after="120"/>
      </w:pPr>
      <w:r>
        <w:rPr>
          <w:rFonts w:ascii="Arial" w:cs="Arial" w:eastAsia="Arial" w:hAnsi="Arial"/>
          <w:b/>
          <w:bCs/>
          <w:color w:val="2C5F8A"/>
          <w:sz w:val="28"/>
          <w:szCs w:val="28"/>
        </w:rPr>
        <w:t xml:space="preserve">18.1 Three-Horizon Maturity Model</w:t>
      </w:r>
    </w:p>
    <w:p>
      <w:pPr>
        <w:pStyle w:val="Heading3"/>
        <w:spacing w:before="200" w:after="100"/>
      </w:pPr>
      <w:r>
        <w:rPr>
          <w:rFonts w:ascii="Arial" w:cs="Arial" w:eastAsia="Arial" w:hAnsi="Arial"/>
          <w:b/>
          <w:bCs/>
          <w:color w:val="3B7DD8"/>
          <w:sz w:val="24"/>
          <w:szCs w:val="24"/>
        </w:rPr>
        <w:t xml:space="preserve">Horizon 1: Foundational (Months 1–6) — Governance Infrastructure</w:t>
      </w:r>
    </w:p>
    <w:p>
      <w:pPr>
        <w:pStyle w:val="ListParagraph"/>
        <w:numPr>
          <w:ilvl w:val="0"/>
          <w:numId w:val="2"/>
        </w:numPr>
        <w:spacing w:after="60"/>
      </w:pPr>
      <w:r>
        <w:rPr>
          <w:rFonts w:ascii="Arial" w:cs="Arial" w:eastAsia="Arial" w:hAnsi="Arial"/>
          <w:color w:val="2D2D2D"/>
          <w:sz w:val="22"/>
          <w:szCs w:val="22"/>
        </w:rPr>
        <w:t xml:space="preserve">Establish Software Registry as single source of truth: integrate CMDB, SAM, Vendor Contract Repository; begin nightly reconciliation.</w:t>
      </w:r>
    </w:p>
    <w:p>
      <w:pPr>
        <w:pStyle w:val="ListParagraph"/>
        <w:numPr>
          <w:ilvl w:val="0"/>
          <w:numId w:val="2"/>
        </w:numPr>
        <w:spacing w:after="60"/>
      </w:pPr>
      <w:r>
        <w:rPr>
          <w:rFonts w:ascii="Arial" w:cs="Arial" w:eastAsia="Arial" w:hAnsi="Arial"/>
          <w:color w:val="2D2D2D"/>
          <w:sz w:val="22"/>
          <w:szCs w:val="22"/>
        </w:rPr>
        <w:t xml:space="preserve">Deploy standardized intake with mandatory field enforcement; assign Product Owner to every request; establish Portfolio Governance Council cadence.</w:t>
      </w:r>
    </w:p>
    <w:p>
      <w:pPr>
        <w:pStyle w:val="ListParagraph"/>
        <w:numPr>
          <w:ilvl w:val="0"/>
          <w:numId w:val="2"/>
        </w:numPr>
        <w:spacing w:after="60"/>
      </w:pPr>
      <w:r>
        <w:rPr>
          <w:rFonts w:ascii="Arial" w:cs="Arial" w:eastAsia="Arial" w:hAnsi="Arial"/>
          <w:color w:val="2D2D2D"/>
          <w:sz w:val="22"/>
          <w:szCs w:val="22"/>
        </w:rPr>
        <w:t xml:space="preserve">Implement TPRM Vendor Register; assign risk tiers to all existing vendor relationships; initiate due diligence gap remediation for Tier 1 vendors.</w:t>
      </w:r>
    </w:p>
    <w:p>
      <w:pPr>
        <w:pStyle w:val="ListParagraph"/>
        <w:numPr>
          <w:ilvl w:val="0"/>
          <w:numId w:val="2"/>
        </w:numPr>
        <w:spacing w:after="60"/>
      </w:pPr>
      <w:r>
        <w:rPr>
          <w:rFonts w:ascii="Arial" w:cs="Arial" w:eastAsia="Arial" w:hAnsi="Arial"/>
          <w:color w:val="2D2D2D"/>
          <w:sz w:val="22"/>
          <w:szCs w:val="22"/>
        </w:rPr>
        <w:t xml:space="preserve">Document and ratify all fifteen DMN decision tables; implement as documented decision criteria (manual DMN application at Horizon 1).</w:t>
      </w:r>
    </w:p>
    <w:p>
      <w:pPr>
        <w:pStyle w:val="ListParagraph"/>
        <w:numPr>
          <w:ilvl w:val="0"/>
          <w:numId w:val="2"/>
        </w:numPr>
        <w:spacing w:after="60"/>
      </w:pPr>
      <w:r>
        <w:rPr>
          <w:rFonts w:ascii="Arial" w:cs="Arial" w:eastAsia="Arial" w:hAnsi="Arial"/>
          <w:color w:val="2D2D2D"/>
          <w:sz w:val="22"/>
          <w:szCs w:val="22"/>
        </w:rPr>
        <w:t xml:space="preserve">Establish decision audit log (basic ITSM record acceptable); define retention standards and access controls.</w:t>
      </w:r>
    </w:p>
    <w:p>
      <w:pPr>
        <w:pStyle w:val="ListParagraph"/>
        <w:numPr>
          <w:ilvl w:val="0"/>
          <w:numId w:val="2"/>
        </w:numPr>
        <w:spacing w:after="60"/>
      </w:pPr>
      <w:r>
        <w:rPr>
          <w:rFonts w:ascii="Arial" w:cs="Arial" w:eastAsia="Arial" w:hAnsi="Arial"/>
          <w:color w:val="2D2D2D"/>
          <w:sz w:val="22"/>
          <w:szCs w:val="22"/>
        </w:rPr>
        <w:t xml:space="preserve">Define AI Governance Checklist; establish Model Risk Inventory; assess all current AI deployments against SR 11-7 tiers.</w:t>
      </w:r>
    </w:p>
    <w:p>
      <w:pPr>
        <w:pStyle w:val="ListParagraph"/>
        <w:numPr>
          <w:ilvl w:val="0"/>
          <w:numId w:val="2"/>
        </w:numPr>
        <w:spacing w:after="60"/>
      </w:pPr>
      <w:r>
        <w:rPr>
          <w:rFonts w:ascii="Arial" w:cs="Arial" w:eastAsia="Arial" w:hAnsi="Arial"/>
          <w:color w:val="2D2D2D"/>
          <w:sz w:val="22"/>
          <w:szCs w:val="22"/>
        </w:rPr>
        <w:t xml:space="preserve">Map all knowledge bases; identify knowledge generation points; begin structured knowledge capture.</w:t>
      </w:r>
    </w:p>
    <w:p>
      <w:pPr>
        <w:pStyle w:val="Heading3"/>
        <w:spacing w:before="200" w:after="100"/>
      </w:pPr>
      <w:r>
        <w:rPr>
          <w:rFonts w:ascii="Arial" w:cs="Arial" w:eastAsia="Arial" w:hAnsi="Arial"/>
          <w:b/>
          <w:bCs/>
          <w:color w:val="3B7DD8"/>
          <w:sz w:val="24"/>
          <w:szCs w:val="24"/>
        </w:rPr>
        <w:t xml:space="preserve">Horizon 2: Structured Automation (Months 7–18) — Process Digitization</w:t>
      </w:r>
    </w:p>
    <w:p>
      <w:pPr>
        <w:pStyle w:val="ListParagraph"/>
        <w:numPr>
          <w:ilvl w:val="0"/>
          <w:numId w:val="2"/>
        </w:numPr>
        <w:spacing w:after="60"/>
      </w:pPr>
      <w:r>
        <w:rPr>
          <w:rFonts w:ascii="Arial" w:cs="Arial" w:eastAsia="Arial" w:hAnsi="Arial"/>
          <w:color w:val="2D2D2D"/>
          <w:sz w:val="22"/>
          <w:szCs w:val="22"/>
        </w:rPr>
        <w:t xml:space="preserve">Deploy conversational AI intake bot with completeness enforcement; integrate Software Registry query and Capability Reuse Gate (DMN-15) into bot session.</w:t>
      </w:r>
    </w:p>
    <w:p>
      <w:pPr>
        <w:pStyle w:val="ListParagraph"/>
        <w:numPr>
          <w:ilvl w:val="0"/>
          <w:numId w:val="2"/>
        </w:numPr>
        <w:spacing w:after="60"/>
      </w:pPr>
      <w:r>
        <w:rPr>
          <w:rFonts w:ascii="Arial" w:cs="Arial" w:eastAsia="Arial" w:hAnsi="Arial"/>
          <w:color w:val="2D2D2D"/>
          <w:sz w:val="22"/>
          <w:szCs w:val="22"/>
        </w:rPr>
        <w:t xml:space="preserve">Implement DMN-01 through DMN-05 and DMN-15 in BPMN process engine (Camunda, Flowable, or equivalent); automate routing and scoring.</w:t>
      </w:r>
    </w:p>
    <w:p>
      <w:pPr>
        <w:pStyle w:val="ListParagraph"/>
        <w:numPr>
          <w:ilvl w:val="0"/>
          <w:numId w:val="2"/>
        </w:numPr>
        <w:spacing w:after="60"/>
      </w:pPr>
      <w:r>
        <w:rPr>
          <w:rFonts w:ascii="Arial" w:cs="Arial" w:eastAsia="Arial" w:hAnsi="Arial"/>
          <w:color w:val="2D2D2D"/>
          <w:sz w:val="22"/>
          <w:szCs w:val="22"/>
        </w:rPr>
        <w:t xml:space="preserve">Automate PRD generation from structured intake data; deploy Jira/ADO integration for Epic and Story push; establish Git branch automation.</w:t>
      </w:r>
    </w:p>
    <w:p>
      <w:pPr>
        <w:pStyle w:val="ListParagraph"/>
        <w:numPr>
          <w:ilvl w:val="0"/>
          <w:numId w:val="2"/>
        </w:numPr>
        <w:spacing w:after="60"/>
      </w:pPr>
      <w:r>
        <w:rPr>
          <w:rFonts w:ascii="Arial" w:cs="Arial" w:eastAsia="Arial" w:hAnsi="Arial"/>
          <w:color w:val="2D2D2D"/>
          <w:sz w:val="22"/>
          <w:szCs w:val="22"/>
        </w:rPr>
        <w:t xml:space="preserve">Implement Legal Knowledge Graph Phase 1: RFP clause library with context-driven selection for top 5 acquisition scenarios.</w:t>
      </w:r>
    </w:p>
    <w:p>
      <w:pPr>
        <w:pStyle w:val="ListParagraph"/>
        <w:numPr>
          <w:ilvl w:val="0"/>
          <w:numId w:val="2"/>
        </w:numPr>
        <w:spacing w:after="60"/>
      </w:pPr>
      <w:r>
        <w:rPr>
          <w:rFonts w:ascii="Arial" w:cs="Arial" w:eastAsia="Arial" w:hAnsi="Arial"/>
          <w:color w:val="2D2D2D"/>
          <w:sz w:val="22"/>
          <w:szCs w:val="22"/>
        </w:rPr>
        <w:t xml:space="preserve">Deploy immutable decision audit log in WORM-compliant storage; implement automated retention enforcement.</w:t>
      </w:r>
    </w:p>
    <w:p>
      <w:pPr>
        <w:pStyle w:val="ListParagraph"/>
        <w:numPr>
          <w:ilvl w:val="0"/>
          <w:numId w:val="2"/>
        </w:numPr>
        <w:spacing w:after="60"/>
      </w:pPr>
      <w:r>
        <w:rPr>
          <w:rFonts w:ascii="Arial" w:cs="Arial" w:eastAsia="Arial" w:hAnsi="Arial"/>
          <w:color w:val="2D2D2D"/>
          <w:sz w:val="22"/>
          <w:szCs w:val="22"/>
        </w:rPr>
        <w:t xml:space="preserve">Implement DMN-06 through DMN-08 for Buy pathway automation; automate TPRM monitoring schedule triggers.</w:t>
      </w:r>
    </w:p>
    <w:p>
      <w:pPr>
        <w:pStyle w:val="ListParagraph"/>
        <w:numPr>
          <w:ilvl w:val="0"/>
          <w:numId w:val="2"/>
        </w:numPr>
        <w:spacing w:after="60"/>
      </w:pPr>
      <w:r>
        <w:rPr>
          <w:rFonts w:ascii="Arial" w:cs="Arial" w:eastAsia="Arial" w:hAnsi="Arial"/>
          <w:color w:val="2D2D2D"/>
          <w:sz w:val="22"/>
          <w:szCs w:val="22"/>
        </w:rPr>
        <w:t xml:space="preserve">Deploy Knowledge Staging Agent for Phases 1–4; replace identified email-based handoffs with structured knowledge flows.</w:t>
      </w:r>
    </w:p>
    <w:p>
      <w:pPr>
        <w:pStyle w:val="ListParagraph"/>
        <w:numPr>
          <w:ilvl w:val="0"/>
          <w:numId w:val="2"/>
        </w:numPr>
        <w:spacing w:after="60"/>
      </w:pPr>
      <w:r>
        <w:rPr>
          <w:rFonts w:ascii="Arial" w:cs="Arial" w:eastAsia="Arial" w:hAnsi="Arial"/>
          <w:color w:val="2D2D2D"/>
          <w:sz w:val="22"/>
          <w:szCs w:val="22"/>
        </w:rPr>
        <w:t xml:space="preserve">Implement SLA monitoring, queue visibility dashboards, and basic escalation timers.</w:t>
      </w:r>
    </w:p>
    <w:p>
      <w:pPr>
        <w:pStyle w:val="Heading3"/>
        <w:spacing w:before="200" w:after="100"/>
      </w:pPr>
      <w:r>
        <w:rPr>
          <w:rFonts w:ascii="Arial" w:cs="Arial" w:eastAsia="Arial" w:hAnsi="Arial"/>
          <w:b/>
          <w:bCs/>
          <w:color w:val="3B7DD8"/>
          <w:sz w:val="24"/>
          <w:szCs w:val="24"/>
        </w:rPr>
        <w:t xml:space="preserve">Horizon 3: Intelligent Optimization (Months 19–36) — Full Framework Realization</w:t>
      </w:r>
    </w:p>
    <w:p>
      <w:pPr>
        <w:pStyle w:val="ListParagraph"/>
        <w:numPr>
          <w:ilvl w:val="0"/>
          <w:numId w:val="2"/>
        </w:numPr>
        <w:spacing w:after="60"/>
      </w:pPr>
      <w:r>
        <w:rPr>
          <w:rFonts w:ascii="Arial" w:cs="Arial" w:eastAsia="Arial" w:hAnsi="Arial"/>
          <w:color w:val="2D2D2D"/>
          <w:sz w:val="22"/>
          <w:szCs w:val="22"/>
        </w:rPr>
        <w:t xml:space="preserve">Full Legal Knowledge Graph deployment: complete clause library covering all acquisition types, regulatory domains, and jurisdictions; AI-assisted redline review.</w:t>
      </w:r>
    </w:p>
    <w:p>
      <w:pPr>
        <w:pStyle w:val="ListParagraph"/>
        <w:numPr>
          <w:ilvl w:val="0"/>
          <w:numId w:val="2"/>
        </w:numPr>
        <w:spacing w:after="60"/>
      </w:pPr>
      <w:r>
        <w:rPr>
          <w:rFonts w:ascii="Arial" w:cs="Arial" w:eastAsia="Arial" w:hAnsi="Arial"/>
          <w:color w:val="2D2D2D"/>
          <w:sz w:val="22"/>
          <w:szCs w:val="22"/>
        </w:rPr>
        <w:t xml:space="preserve">Shadow IT continuous detection: SSO and expense management integration for real-time identification and automated intake trigger.</w:t>
      </w:r>
    </w:p>
    <w:p>
      <w:pPr>
        <w:pStyle w:val="ListParagraph"/>
        <w:numPr>
          <w:ilvl w:val="0"/>
          <w:numId w:val="2"/>
        </w:numPr>
        <w:spacing w:after="60"/>
      </w:pPr>
      <w:r>
        <w:rPr>
          <w:rFonts w:ascii="Arial" w:cs="Arial" w:eastAsia="Arial" w:hAnsi="Arial"/>
          <w:color w:val="2D2D2D"/>
          <w:sz w:val="22"/>
          <w:szCs w:val="22"/>
        </w:rPr>
        <w:t xml:space="preserve">AI model performance observability: full drift monitoring, bias detection, and hallucination monitoring dashboards for all Tier 1 and Tier 2 models.</w:t>
      </w:r>
    </w:p>
    <w:p>
      <w:pPr>
        <w:pStyle w:val="ListParagraph"/>
        <w:numPr>
          <w:ilvl w:val="0"/>
          <w:numId w:val="2"/>
        </w:numPr>
        <w:spacing w:after="60"/>
      </w:pPr>
      <w:r>
        <w:rPr>
          <w:rFonts w:ascii="Arial" w:cs="Arial" w:eastAsia="Arial" w:hAnsi="Arial"/>
          <w:color w:val="2D2D2D"/>
          <w:sz w:val="22"/>
          <w:szCs w:val="22"/>
        </w:rPr>
        <w:t xml:space="preserve">Automated regulatory reporting package: pre-built exam package generation for OCC, FINRA, and SEC; 24-hour retrieval SLA met with automated tooling.</w:t>
      </w:r>
    </w:p>
    <w:p>
      <w:pPr>
        <w:pStyle w:val="ListParagraph"/>
        <w:numPr>
          <w:ilvl w:val="0"/>
          <w:numId w:val="2"/>
        </w:numPr>
        <w:spacing w:after="60"/>
      </w:pPr>
      <w:r>
        <w:rPr>
          <w:rFonts w:ascii="Arial" w:cs="Arial" w:eastAsia="Arial" w:hAnsi="Arial"/>
          <w:color w:val="2D2D2D"/>
          <w:sz w:val="22"/>
          <w:szCs w:val="22"/>
        </w:rPr>
        <w:t xml:space="preserve">Predictive portfolio management: demand forecasting for technology requests; resource prediction; proactive vendor renewal management.</w:t>
      </w:r>
    </w:p>
    <w:p>
      <w:pPr>
        <w:pStyle w:val="ListParagraph"/>
        <w:numPr>
          <w:ilvl w:val="0"/>
          <w:numId w:val="2"/>
        </w:numPr>
        <w:spacing w:after="60"/>
      </w:pPr>
      <w:r>
        <w:rPr>
          <w:rFonts w:ascii="Arial" w:cs="Arial" w:eastAsia="Arial" w:hAnsi="Arial"/>
          <w:color w:val="2D2D2D"/>
          <w:sz w:val="22"/>
          <w:szCs w:val="22"/>
        </w:rPr>
        <w:t xml:space="preserve">Fourth-party risk monitoring: automated monitoring of critical vendor sub-contractors via news, sanctions, and financial stability feeds.</w:t>
      </w:r>
    </w:p>
    <w:p>
      <w:pPr>
        <w:pStyle w:val="ListParagraph"/>
        <w:numPr>
          <w:ilvl w:val="0"/>
          <w:numId w:val="2"/>
        </w:numPr>
        <w:spacing w:after="60"/>
      </w:pPr>
      <w:r>
        <w:rPr>
          <w:rFonts w:ascii="Arial" w:cs="Arial" w:eastAsia="Arial" w:hAnsi="Arial"/>
          <w:color w:val="2D2D2D"/>
          <w:sz w:val="22"/>
          <w:szCs w:val="22"/>
        </w:rPr>
        <w:t xml:space="preserve">Full Knowledge Staging Agent deployment across all phases; all knowledge bases continuously updated; zero email-based handoffs in governed workflow.</w:t>
      </w:r>
    </w:p>
    <w:p>
      <w:pPr>
        <w:pStyle w:val="ListParagraph"/>
        <w:numPr>
          <w:ilvl w:val="0"/>
          <w:numId w:val="2"/>
        </w:numPr>
        <w:spacing w:after="60"/>
      </w:pPr>
      <w:r>
        <w:rPr>
          <w:rFonts w:ascii="Arial" w:cs="Arial" w:eastAsia="Arial" w:hAnsi="Arial"/>
          <w:color w:val="2D2D2D"/>
          <w:sz w:val="22"/>
          <w:szCs w:val="22"/>
        </w:rPr>
        <w:t xml:space="preserve">Bottleneck-driven automation: automated identification and implementation of automation opportunities based on process telemetry data.</w:t>
      </w:r>
    </w:p>
    <w:p>
      <w:pPr>
        <w:pStyle w:val="Heading2"/>
        <w:spacing w:before="300" w:after="120"/>
      </w:pPr>
      <w:r>
        <w:rPr>
          <w:rFonts w:ascii="Arial" w:cs="Arial" w:eastAsia="Arial" w:hAnsi="Arial"/>
          <w:b/>
          <w:bCs/>
          <w:color w:val="2C5F8A"/>
          <w:sz w:val="28"/>
          <w:szCs w:val="28"/>
        </w:rPr>
        <w:t xml:space="preserve">18.2 Automation Decision Criteria</w:t>
      </w:r>
    </w:p>
    <w:p>
      <w:pPr>
        <w:spacing w:after="120"/>
      </w:pPr>
      <w:r>
        <w:rPr>
          <w:rFonts w:ascii="Arial" w:cs="Arial" w:eastAsia="Arial" w:hAnsi="Arial"/>
          <w:color w:val="2D2D2D"/>
          <w:sz w:val="22"/>
          <w:szCs w:val="22"/>
        </w:rPr>
        <w:t xml:space="preserve">A task is eligible for automation when evidence demonstrates:</w:t>
      </w:r>
    </w:p>
    <w:p>
      <w:pPr>
        <w:pStyle w:val="ListParagraph"/>
        <w:numPr>
          <w:ilvl w:val="0"/>
          <w:numId w:val="2"/>
        </w:numPr>
        <w:spacing w:after="60"/>
      </w:pPr>
      <w:r>
        <w:rPr>
          <w:rFonts w:ascii="Arial" w:cs="Arial" w:eastAsia="Arial" w:hAnsi="Arial"/>
          <w:color w:val="2D2D2D"/>
          <w:sz w:val="22"/>
          <w:szCs w:val="22"/>
        </w:rPr>
        <w:t xml:space="preserve">The task has been executed manually at least 10 times with consistent, documented outcomes.</w:t>
      </w:r>
    </w:p>
    <w:p>
      <w:pPr>
        <w:pStyle w:val="ListParagraph"/>
        <w:numPr>
          <w:ilvl w:val="0"/>
          <w:numId w:val="2"/>
        </w:numPr>
        <w:spacing w:after="60"/>
      </w:pPr>
      <w:r>
        <w:rPr>
          <w:rFonts w:ascii="Arial" w:cs="Arial" w:eastAsia="Arial" w:hAnsi="Arial"/>
          <w:color w:val="2D2D2D"/>
          <w:sz w:val="22"/>
          <w:szCs w:val="22"/>
        </w:rPr>
        <w:t xml:space="preserve">The task’s decision logic can be expressed as deterministic rules (DMN) or deterministic agent operations.</w:t>
      </w:r>
    </w:p>
    <w:p>
      <w:pPr>
        <w:pStyle w:val="ListParagraph"/>
        <w:numPr>
          <w:ilvl w:val="0"/>
          <w:numId w:val="2"/>
        </w:numPr>
        <w:spacing w:after="60"/>
      </w:pPr>
      <w:r>
        <w:rPr>
          <w:rFonts w:ascii="Arial" w:cs="Arial" w:eastAsia="Arial" w:hAnsi="Arial"/>
          <w:color w:val="2D2D2D"/>
          <w:sz w:val="22"/>
          <w:szCs w:val="22"/>
        </w:rPr>
        <w:t xml:space="preserve">Automation would reduce the task’s cycle time by &gt;50% or eliminate a documented bottleneck.</w:t>
      </w:r>
    </w:p>
    <w:p>
      <w:pPr>
        <w:pStyle w:val="ListParagraph"/>
        <w:numPr>
          <w:ilvl w:val="0"/>
          <w:numId w:val="2"/>
        </w:numPr>
        <w:spacing w:after="60"/>
      </w:pPr>
      <w:r>
        <w:rPr>
          <w:rFonts w:ascii="Arial" w:cs="Arial" w:eastAsia="Arial" w:hAnsi="Arial"/>
          <w:color w:val="2D2D2D"/>
          <w:sz w:val="22"/>
          <w:szCs w:val="22"/>
        </w:rPr>
        <w:t xml:space="preserve">The task’s outputs can be validated against historical outcomes with &gt;95% accuracy.</w:t>
      </w:r>
    </w:p>
    <w:p>
      <w:pPr>
        <w:pStyle w:val="ListParagraph"/>
        <w:numPr>
          <w:ilvl w:val="0"/>
          <w:numId w:val="2"/>
        </w:numPr>
        <w:spacing w:after="60"/>
      </w:pPr>
      <w:r>
        <w:rPr>
          <w:rFonts w:ascii="Arial" w:cs="Arial" w:eastAsia="Arial" w:hAnsi="Arial"/>
          <w:color w:val="2D2D2D"/>
          <w:sz w:val="22"/>
          <w:szCs w:val="22"/>
        </w:rPr>
        <w:t xml:space="preserve">The compliance and audit trail requirements can be maintained in the automated mode.</w:t>
      </w:r>
    </w:p>
    <w:p>
      <w:pPr>
        <w:pStyle w:val="Heading2"/>
        <w:spacing w:before="300" w:after="120"/>
      </w:pPr>
      <w:r>
        <w:rPr>
          <w:rFonts w:ascii="Arial" w:cs="Arial" w:eastAsia="Arial" w:hAnsi="Arial"/>
          <w:b/>
          <w:bCs/>
          <w:color w:val="2C5F8A"/>
          <w:sz w:val="28"/>
          <w:szCs w:val="28"/>
        </w:rPr>
        <w:t xml:space="preserve">18.3 Change Management Imperatives</w:t>
      </w:r>
    </w:p>
    <w:p>
      <w:pPr>
        <w:pStyle w:val="ListParagraph"/>
        <w:numPr>
          <w:ilvl w:val="0"/>
          <w:numId w:val="2"/>
        </w:numPr>
        <w:spacing w:after="60"/>
      </w:pPr>
      <w:r>
        <w:rPr>
          <w:rFonts w:ascii="Arial" w:cs="Arial" w:eastAsia="Arial" w:hAnsi="Arial"/>
          <w:color w:val="2D2D2D"/>
          <w:sz w:val="22"/>
          <w:szCs w:val="22"/>
        </w:rPr>
        <w:t xml:space="preserve"/>
      </w:r>
      <w:r>
        <w:rPr>
          <w:rFonts w:ascii="Arial" w:cs="Arial" w:eastAsia="Arial" w:hAnsi="Arial"/>
          <w:b/>
          <w:bCs/>
          <w:color w:val="2D2D2D"/>
          <w:sz w:val="22"/>
          <w:szCs w:val="22"/>
        </w:rPr>
        <w:t xml:space="preserve">Executive sponsorship:</w:t>
      </w:r>
      <w:r>
        <w:rPr>
          <w:rFonts w:ascii="Arial" w:cs="Arial" w:eastAsia="Arial" w:hAnsi="Arial"/>
          <w:color w:val="2D2D2D"/>
          <w:sz w:val="22"/>
          <w:szCs w:val="22"/>
        </w:rPr>
        <w:t xml:space="preserve"> Technology leadership and risk leadership must jointly own and visibly champion this framework. Without executive mandate, cross-functional governance bodies lack authority to enforce decisions.</w:t>
      </w:r>
    </w:p>
    <w:p>
      <w:pPr>
        <w:pStyle w:val="ListParagraph"/>
        <w:numPr>
          <w:ilvl w:val="0"/>
          <w:numId w:val="2"/>
        </w:numPr>
        <w:spacing w:after="60"/>
      </w:pPr>
      <w:r>
        <w:rPr>
          <w:rFonts w:ascii="Arial" w:cs="Arial" w:eastAsia="Arial" w:hAnsi="Arial"/>
          <w:color w:val="2D2D2D"/>
          <w:sz w:val="22"/>
          <w:szCs w:val="22"/>
        </w:rPr>
        <w:t xml:space="preserve"/>
      </w:r>
      <w:r>
        <w:rPr>
          <w:rFonts w:ascii="Arial" w:cs="Arial" w:eastAsia="Arial" w:hAnsi="Arial"/>
          <w:b/>
          <w:bCs/>
          <w:color w:val="2D2D2D"/>
          <w:sz w:val="22"/>
          <w:szCs w:val="22"/>
        </w:rPr>
        <w:t xml:space="preserve">Training investment:</w:t>
      </w:r>
      <w:r>
        <w:rPr>
          <w:rFonts w:ascii="Arial" w:cs="Arial" w:eastAsia="Arial" w:hAnsi="Arial"/>
          <w:color w:val="2D2D2D"/>
          <w:sz w:val="22"/>
          <w:szCs w:val="22"/>
        </w:rPr>
        <w:t xml:space="preserve"> Product Owners, Procurement Leads, and TPRM managers require structured training in DMN logic, conversational AI design, and SR 11-7 compliance before go-live.</w:t>
      </w:r>
    </w:p>
    <w:p>
      <w:pPr>
        <w:pStyle w:val="ListParagraph"/>
        <w:numPr>
          <w:ilvl w:val="0"/>
          <w:numId w:val="2"/>
        </w:numPr>
        <w:spacing w:after="60"/>
      </w:pPr>
      <w:r>
        <w:rPr>
          <w:rFonts w:ascii="Arial" w:cs="Arial" w:eastAsia="Arial" w:hAnsi="Arial"/>
          <w:color w:val="2D2D2D"/>
          <w:sz w:val="22"/>
          <w:szCs w:val="22"/>
        </w:rPr>
        <w:t xml:space="preserve"/>
      </w:r>
      <w:r>
        <w:rPr>
          <w:rFonts w:ascii="Arial" w:cs="Arial" w:eastAsia="Arial" w:hAnsi="Arial"/>
          <w:b/>
          <w:bCs/>
          <w:color w:val="2D2D2D"/>
          <w:sz w:val="22"/>
          <w:szCs w:val="22"/>
        </w:rPr>
        <w:t xml:space="preserve">Change metrics:</w:t>
      </w:r>
      <w:r>
        <w:rPr>
          <w:rFonts w:ascii="Arial" w:cs="Arial" w:eastAsia="Arial" w:hAnsi="Arial"/>
          <w:color w:val="2D2D2D"/>
          <w:sz w:val="22"/>
          <w:szCs w:val="22"/>
        </w:rPr>
        <w:t xml:space="preserve"> Track adoption rate of intake portal, percentage of requests through formal governance vs. informal channels, and Council decision cycle times.</w:t>
      </w:r>
    </w:p>
    <w:p>
      <w:pPr>
        <w:pStyle w:val="ListParagraph"/>
        <w:numPr>
          <w:ilvl w:val="0"/>
          <w:numId w:val="2"/>
        </w:numPr>
        <w:spacing w:after="60"/>
      </w:pPr>
      <w:r>
        <w:rPr>
          <w:rFonts w:ascii="Arial" w:cs="Arial" w:eastAsia="Arial" w:hAnsi="Arial"/>
          <w:color w:val="2D2D2D"/>
          <w:sz w:val="22"/>
          <w:szCs w:val="22"/>
        </w:rPr>
        <w:t xml:space="preserve"/>
      </w:r>
      <w:r>
        <w:rPr>
          <w:rFonts w:ascii="Arial" w:cs="Arial" w:eastAsia="Arial" w:hAnsi="Arial"/>
          <w:b/>
          <w:bCs/>
          <w:color w:val="2D2D2D"/>
          <w:sz w:val="22"/>
          <w:szCs w:val="22"/>
        </w:rPr>
        <w:t xml:space="preserve">Continuous improvement:</w:t>
      </w:r>
      <w:r>
        <w:rPr>
          <w:rFonts w:ascii="Arial" w:cs="Arial" w:eastAsia="Arial" w:hAnsi="Arial"/>
          <w:color w:val="2D2D2D"/>
          <w:sz w:val="22"/>
          <w:szCs w:val="22"/>
        </w:rPr>
        <w:t xml:space="preserve"> Quarterly review of all DMN tables, KPI performance, and regulatory landscape changes. DMN rules updated within 60 days of material regulatory guidance change.</w:t>
      </w:r>
    </w:p>
    <w:p>
      <w:r>
        <w:br w:type="page"/>
      </w:r>
    </w:p>
    <w:p>
      <w:pPr>
        <w:pStyle w:val="Heading1"/>
      </w:pPr>
      <w:r>
        <w:rPr>
          <w:rFonts w:ascii="Arial" w:cs="Arial" w:eastAsia="Arial" w:hAnsi="Arial"/>
          <w:b/>
          <w:bCs/>
          <w:color w:val="1B3A5C"/>
          <w:sz w:val="36"/>
          <w:szCs w:val="36"/>
        </w:rPr>
        <w:t xml:space="preserve">19. Regulatory and Compliance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800"/>
        <w:gridCol w:w="4560"/>
      </w:tblGrid>
      <w:tr>
        <w:tc>
          <w:tcPr>
            <w:tcW w:type="dxa" w:w="180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Regulation / Guidance</w:t>
            </w:r>
          </w:p>
        </w:tc>
        <w:tc>
          <w:tcPr>
            <w:tcW w:type="dxa" w:w="120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Issuer</w:t>
            </w:r>
          </w:p>
        </w:tc>
        <w:tc>
          <w:tcPr>
            <w:tcW w:type="dxa" w:w="180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Process Applicability</w:t>
            </w:r>
          </w:p>
        </w:tc>
        <w:tc>
          <w:tcPr>
            <w:tcW w:type="dxa" w:w="456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Key Requirements Addressed</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OCC Bulletin 2023-17</w:t>
            </w:r>
            <w:r>
              <w:rPr>
                <w:rFonts w:ascii="Arial" w:cs="Arial" w:eastAsia="Arial" w:hAnsi="Arial"/>
                <w:color w:val="2D2D2D"/>
                <w:sz w:val="20"/>
                <w:szCs w:val="20"/>
              </w:rPr>
              <w:t xml:space="preserve"/>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OCC / Fed / FDIC</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Phase 5B (all stages); Phase 6</w:t>
            </w:r>
          </w:p>
        </w:tc>
        <w:tc>
          <w:tcPr>
            <w:tcW w:type="dxa" w:w="4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Five-stage lifecycle; risk-tiered DD; critical activity designation; sub-contractor oversight; ongoing monitoring; termination planning</w:t>
            </w:r>
          </w:p>
        </w:tc>
      </w:tr>
      <w:tr>
        <w:tc>
          <w:tcPr>
            <w:tcW w:type="dxa" w:w="18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SR 11-7 MRM</w:t>
            </w:r>
            <w:r>
              <w:rPr>
                <w:rFonts w:ascii="Arial" w:cs="Arial" w:eastAsia="Arial" w:hAnsi="Arial"/>
                <w:color w:val="2D2D2D"/>
                <w:sz w:val="20"/>
                <w:szCs w:val="20"/>
              </w:rPr>
              <w:t xml:space="preserve"/>
            </w:r>
          </w:p>
        </w:tc>
        <w:tc>
          <w:tcPr>
            <w:tcW w:type="dxa" w:w="12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Fed / OCC</w:t>
            </w:r>
          </w:p>
        </w:tc>
        <w:tc>
          <w:tcPr>
            <w:tcW w:type="dxa" w:w="18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Phase 1 (AI risk); Phase 5A (AI Gov); Phase 6</w:t>
            </w:r>
          </w:p>
        </w:tc>
        <w:tc>
          <w:tcPr>
            <w:tcW w:type="dxa" w:w="456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Model risk inventory; independent validation; documentation; performance monitoring; drift detection; Board-level reporting</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NIST AI RMF 1.0</w:t>
            </w:r>
            <w:r>
              <w:rPr>
                <w:rFonts w:ascii="Arial" w:cs="Arial" w:eastAsia="Arial" w:hAnsi="Arial"/>
                <w:color w:val="2D2D2D"/>
                <w:sz w:val="20"/>
                <w:szCs w:val="20"/>
              </w:rPr>
              <w:t xml:space="preserve"/>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NIST</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Phase 1; Phase 5A</w:t>
            </w:r>
          </w:p>
        </w:tc>
        <w:tc>
          <w:tcPr>
            <w:tcW w:type="dxa" w:w="4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GOVERN, MAP, MEASURE, MANAGE functions; bias/fairness; transparency; accountability; trustworthiness</w:t>
            </w:r>
          </w:p>
        </w:tc>
      </w:tr>
      <w:tr>
        <w:tc>
          <w:tcPr>
            <w:tcW w:type="dxa" w:w="18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SEC Cybersecurity Rule</w:t>
            </w:r>
            <w:r>
              <w:rPr>
                <w:rFonts w:ascii="Arial" w:cs="Arial" w:eastAsia="Arial" w:hAnsi="Arial"/>
                <w:color w:val="2D2D2D"/>
                <w:sz w:val="20"/>
                <w:szCs w:val="20"/>
              </w:rPr>
              <w:t xml:space="preserve"/>
            </w:r>
          </w:p>
        </w:tc>
        <w:tc>
          <w:tcPr>
            <w:tcW w:type="dxa" w:w="12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SEC</w:t>
            </w:r>
          </w:p>
        </w:tc>
        <w:tc>
          <w:tcPr>
            <w:tcW w:type="dxa" w:w="18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Phase 2; Phase 5B; Phase 6</w:t>
            </w:r>
          </w:p>
        </w:tc>
        <w:tc>
          <w:tcPr>
            <w:tcW w:type="dxa" w:w="456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Material incident disclosure; annual cybersecurity risk management; third-party risk as material factor</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FINRA Rules 3110 / 4511</w:t>
            </w:r>
            <w:r>
              <w:rPr>
                <w:rFonts w:ascii="Arial" w:cs="Arial" w:eastAsia="Arial" w:hAnsi="Arial"/>
                <w:color w:val="2D2D2D"/>
                <w:sz w:val="20"/>
                <w:szCs w:val="20"/>
              </w:rPr>
              <w:t xml:space="preserve"/>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FINRA</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Phase 6</w:t>
            </w:r>
          </w:p>
        </w:tc>
        <w:tc>
          <w:tcPr>
            <w:tcW w:type="dxa" w:w="4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Supervision of technology; books and records; 3-year minimum retention; 6-year for financial records</w:t>
            </w:r>
          </w:p>
        </w:tc>
      </w:tr>
      <w:tr>
        <w:tc>
          <w:tcPr>
            <w:tcW w:type="dxa" w:w="18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SEC Rule 17a-4</w:t>
            </w:r>
            <w:r>
              <w:rPr>
                <w:rFonts w:ascii="Arial" w:cs="Arial" w:eastAsia="Arial" w:hAnsi="Arial"/>
                <w:color w:val="2D2D2D"/>
                <w:sz w:val="20"/>
                <w:szCs w:val="20"/>
              </w:rPr>
              <w:t xml:space="preserve"/>
            </w:r>
          </w:p>
        </w:tc>
        <w:tc>
          <w:tcPr>
            <w:tcW w:type="dxa" w:w="12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SEC</w:t>
            </w:r>
          </w:p>
        </w:tc>
        <w:tc>
          <w:tcPr>
            <w:tcW w:type="dxa" w:w="18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Phase 6</w:t>
            </w:r>
          </w:p>
        </w:tc>
        <w:tc>
          <w:tcPr>
            <w:tcW w:type="dxa" w:w="456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WORM-compliant storage; 7-year retention for broker-dealer records; regulatory access within 24 hours</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BCBS d577</w:t>
            </w:r>
            <w:r>
              <w:rPr>
                <w:rFonts w:ascii="Arial" w:cs="Arial" w:eastAsia="Arial" w:hAnsi="Arial"/>
                <w:color w:val="2D2D2D"/>
                <w:sz w:val="20"/>
                <w:szCs w:val="20"/>
              </w:rPr>
              <w:t xml:space="preserve"/>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BIS</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Phase 5B</w:t>
            </w:r>
          </w:p>
        </w:tc>
        <w:tc>
          <w:tcPr>
            <w:tcW w:type="dxa" w:w="4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Concentration risk; supervisory cooperation; termination/BCP planning; sub-contractor chain oversight</w:t>
            </w:r>
          </w:p>
        </w:tc>
      </w:tr>
      <w:tr>
        <w:tc>
          <w:tcPr>
            <w:tcW w:type="dxa" w:w="18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NIST SP 1800-5</w:t>
            </w:r>
            <w:r>
              <w:rPr>
                <w:rFonts w:ascii="Arial" w:cs="Arial" w:eastAsia="Arial" w:hAnsi="Arial"/>
                <w:color w:val="2D2D2D"/>
                <w:sz w:val="20"/>
                <w:szCs w:val="20"/>
              </w:rPr>
              <w:t xml:space="preserve"/>
            </w:r>
          </w:p>
        </w:tc>
        <w:tc>
          <w:tcPr>
            <w:tcW w:type="dxa" w:w="12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NIST</w:t>
            </w:r>
          </w:p>
        </w:tc>
        <w:tc>
          <w:tcPr>
            <w:tcW w:type="dxa" w:w="18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Phase 0</w:t>
            </w:r>
          </w:p>
        </w:tc>
        <w:tc>
          <w:tcPr>
            <w:tcW w:type="dxa" w:w="456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ITAM for financial services; continuous discovery; license compliance; vulnerability integration</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ISO/IEC 19770</w:t>
            </w:r>
            <w:r>
              <w:rPr>
                <w:rFonts w:ascii="Arial" w:cs="Arial" w:eastAsia="Arial" w:hAnsi="Arial"/>
                <w:color w:val="2D2D2D"/>
                <w:sz w:val="20"/>
                <w:szCs w:val="20"/>
              </w:rPr>
              <w:t xml:space="preserve"/>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ISO</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Phase 0</w:t>
            </w:r>
          </w:p>
        </w:tc>
        <w:tc>
          <w:tcPr>
            <w:tcW w:type="dxa" w:w="4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SAM standards; software identification; license management; entitlement management</w:t>
            </w:r>
          </w:p>
        </w:tc>
      </w:tr>
      <w:tr>
        <w:tc>
          <w:tcPr>
            <w:tcW w:type="dxa" w:w="18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ISO/IEC 27001:2022</w:t>
            </w:r>
            <w:r>
              <w:rPr>
                <w:rFonts w:ascii="Arial" w:cs="Arial" w:eastAsia="Arial" w:hAnsi="Arial"/>
                <w:color w:val="2D2D2D"/>
                <w:sz w:val="20"/>
                <w:szCs w:val="20"/>
              </w:rPr>
              <w:t xml:space="preserve"/>
            </w:r>
          </w:p>
        </w:tc>
        <w:tc>
          <w:tcPr>
            <w:tcW w:type="dxa" w:w="12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ISO</w:t>
            </w:r>
          </w:p>
        </w:tc>
        <w:tc>
          <w:tcPr>
            <w:tcW w:type="dxa" w:w="18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Phase 5A; 5B; 6</w:t>
            </w:r>
          </w:p>
        </w:tc>
        <w:tc>
          <w:tcPr>
            <w:tcW w:type="dxa" w:w="456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ISMS requirements; supplier security; access control; audit logging; cryptographic controls</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EU AI Act</w:t>
            </w:r>
            <w:r>
              <w:rPr>
                <w:rFonts w:ascii="Arial" w:cs="Arial" w:eastAsia="Arial" w:hAnsi="Arial"/>
                <w:color w:val="2D2D2D"/>
                <w:sz w:val="20"/>
                <w:szCs w:val="20"/>
              </w:rPr>
              <w:t xml:space="preserve"/>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EU</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Phase 1; Phase 5A</w:t>
            </w:r>
          </w:p>
        </w:tc>
        <w:tc>
          <w:tcPr>
            <w:tcW w:type="dxa" w:w="4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High-risk AI registration; fundamental rights assessment; technical documentation; transparency</w:t>
            </w:r>
          </w:p>
        </w:tc>
      </w:tr>
      <w:tr>
        <w:tc>
          <w:tcPr>
            <w:tcW w:type="dxa" w:w="18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GDPR / CCPA / GLB</w:t>
            </w:r>
            <w:r>
              <w:rPr>
                <w:rFonts w:ascii="Arial" w:cs="Arial" w:eastAsia="Arial" w:hAnsi="Arial"/>
                <w:color w:val="2D2D2D"/>
                <w:sz w:val="20"/>
                <w:szCs w:val="20"/>
              </w:rPr>
              <w:t xml:space="preserve"/>
            </w:r>
          </w:p>
        </w:tc>
        <w:tc>
          <w:tcPr>
            <w:tcW w:type="dxa" w:w="12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EU / CA / US Fed</w:t>
            </w:r>
          </w:p>
        </w:tc>
        <w:tc>
          <w:tcPr>
            <w:tcW w:type="dxa" w:w="18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Phase 1; Phase 5B</w:t>
            </w:r>
          </w:p>
        </w:tc>
        <w:tc>
          <w:tcPr>
            <w:tcW w:type="dxa" w:w="456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Lawful basis; DPA requirements; data subject rights; cross-border transfer; breach notification</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FCRA / Regulation B</w:t>
            </w:r>
            <w:r>
              <w:rPr>
                <w:rFonts w:ascii="Arial" w:cs="Arial" w:eastAsia="Arial" w:hAnsi="Arial"/>
                <w:color w:val="2D2D2D"/>
                <w:sz w:val="20"/>
                <w:szCs w:val="20"/>
              </w:rPr>
              <w:t xml:space="preserve"/>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CFPB / Fed</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Phase 5A (Tier 1)</w:t>
            </w:r>
          </w:p>
        </w:tc>
        <w:tc>
          <w:tcPr>
            <w:tcW w:type="dxa" w:w="4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Adverse action notices; disparate impact prohibition; explainability for credit-adjacent AI</w:t>
            </w:r>
          </w:p>
        </w:tc>
      </w:tr>
    </w:tbl>
    <w:p>
      <w:r>
        <w:br w:type="page"/>
      </w:r>
    </w:p>
    <w:p>
      <w:pPr>
        <w:pStyle w:val="Heading1"/>
      </w:pPr>
      <w:r>
        <w:rPr>
          <w:rFonts w:ascii="Arial" w:cs="Arial" w:eastAsia="Arial" w:hAnsi="Arial"/>
          <w:b/>
          <w:bCs/>
          <w:color w:val="1B3A5C"/>
          <w:sz w:val="36"/>
          <w:szCs w:val="36"/>
        </w:rPr>
        <w:t xml:space="preserve">20. Glossary of Key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Term</w:t>
            </w:r>
          </w:p>
        </w:tc>
        <w:tc>
          <w:tcPr>
            <w:tcW w:type="dxa" w:w="7160"/>
            <w:tcBorders>
              <w:top w:val="single" w:color="BFBFBF" w:sz="1"/>
              <w:left w:val="single" w:color="BFBFBF" w:sz="1"/>
              <w:bottom w:val="single" w:color="BFBFBF" w:sz="1"/>
              <w:right w:val="single" w:color="BFBFBF"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A (Automated)</w:t>
            </w:r>
            <w:r>
              <w:rPr>
                <w:rFonts w:ascii="Arial" w:cs="Arial" w:eastAsia="Arial" w:hAnsi="Arial"/>
                <w:color w:val="2D2D2D"/>
                <w:sz w:val="20"/>
                <w:szCs w:val="20"/>
              </w:rPr>
              <w:t xml:space="preserve"/>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Task type designation: fully automated execution with no human intervention; deterministic inputs and outputs.</w:t>
            </w:r>
          </w:p>
        </w:tc>
      </w:tr>
      <w:tr>
        <w:tc>
          <w:tcPr>
            <w:tcW w:type="dxa" w:w="22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Business Rules Task</w:t>
            </w:r>
            <w:r>
              <w:rPr>
                <w:rFonts w:ascii="Arial" w:cs="Arial" w:eastAsia="Arial" w:hAnsi="Arial"/>
                <w:color w:val="2D2D2D"/>
                <w:sz w:val="20"/>
                <w:szCs w:val="20"/>
              </w:rPr>
              <w:t xml:space="preserve"/>
            </w:r>
          </w:p>
        </w:tc>
        <w:tc>
          <w:tcPr>
            <w:tcW w:type="dxa" w:w="716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A BPMN element that invokes an external decision service (such as a DMN decision table) rather than embedding decision logic in the process flow.</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CMDB</w:t>
            </w:r>
            <w:r>
              <w:rPr>
                <w:rFonts w:ascii="Arial" w:cs="Arial" w:eastAsia="Arial" w:hAnsi="Arial"/>
                <w:color w:val="2D2D2D"/>
                <w:sz w:val="20"/>
                <w:szCs w:val="20"/>
              </w:rPr>
              <w:t xml:space="preserve"/>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Configuration Management Database: the authoritative record of all IT assets and their relationships.</w:t>
            </w:r>
          </w:p>
        </w:tc>
      </w:tr>
      <w:tr>
        <w:tc>
          <w:tcPr>
            <w:tcW w:type="dxa" w:w="22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Critical Activity</w:t>
            </w:r>
            <w:r>
              <w:rPr>
                <w:rFonts w:ascii="Arial" w:cs="Arial" w:eastAsia="Arial" w:hAnsi="Arial"/>
                <w:color w:val="2D2D2D"/>
                <w:sz w:val="20"/>
                <w:szCs w:val="20"/>
              </w:rPr>
              <w:t xml:space="preserve"/>
            </w:r>
          </w:p>
        </w:tc>
        <w:tc>
          <w:tcPr>
            <w:tcW w:type="dxa" w:w="716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Per OCC guidance, any activity that if disrupted would significantly impact the institution’s ability to provide services, comply with regulations, or maintain financial stability.</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DA (Deterministic Agent-Enabled)</w:t>
            </w:r>
            <w:r>
              <w:rPr>
                <w:rFonts w:ascii="Arial" w:cs="Arial" w:eastAsia="Arial" w:hAnsi="Arial"/>
                <w:color w:val="2D2D2D"/>
                <w:sz w:val="20"/>
                <w:szCs w:val="20"/>
              </w:rPr>
              <w:t xml:space="preserve"/>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Task type designation: agent executes using deterministic knowledge bases and DMN rules; outputs are reproducible; decision provenance is logged.</w:t>
            </w:r>
          </w:p>
        </w:tc>
      </w:tr>
      <w:tr>
        <w:tc>
          <w:tcPr>
            <w:tcW w:type="dxa" w:w="22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DMN</w:t>
            </w:r>
            <w:r>
              <w:rPr>
                <w:rFonts w:ascii="Arial" w:cs="Arial" w:eastAsia="Arial" w:hAnsi="Arial"/>
                <w:color w:val="2D2D2D"/>
                <w:sz w:val="20"/>
                <w:szCs w:val="20"/>
              </w:rPr>
              <w:t xml:space="preserve"/>
            </w:r>
          </w:p>
        </w:tc>
        <w:tc>
          <w:tcPr>
            <w:tcW w:type="dxa" w:w="716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Decision Model and Notation: an OMG-standard for representing business decision logic in tabular form, enabling independent versioning, testing, and auditing.</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H (Human-in-the-Loop)</w:t>
            </w:r>
            <w:r>
              <w:rPr>
                <w:rFonts w:ascii="Arial" w:cs="Arial" w:eastAsia="Arial" w:hAnsi="Arial"/>
                <w:color w:val="2D2D2D"/>
                <w:sz w:val="20"/>
                <w:szCs w:val="20"/>
              </w:rPr>
              <w:t xml:space="preserve"/>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Task type designation: human judgment required; may be informed by agent analysis but human is accountable.</w:t>
            </w:r>
          </w:p>
        </w:tc>
      </w:tr>
      <w:tr>
        <w:tc>
          <w:tcPr>
            <w:tcW w:type="dxa" w:w="22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HLDD</w:t>
            </w:r>
            <w:r>
              <w:rPr>
                <w:rFonts w:ascii="Arial" w:cs="Arial" w:eastAsia="Arial" w:hAnsi="Arial"/>
                <w:color w:val="2D2D2D"/>
                <w:sz w:val="20"/>
                <w:szCs w:val="20"/>
              </w:rPr>
              <w:t xml:space="preserve"/>
            </w:r>
          </w:p>
        </w:tc>
        <w:tc>
          <w:tcPr>
            <w:tcW w:type="dxa" w:w="716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High Level Design Document: architecture artifact describing system context, data flows, integration points, security controls, and observability design.</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Knowledge Staging Agent</w:t>
            </w:r>
            <w:r>
              <w:rPr>
                <w:rFonts w:ascii="Arial" w:cs="Arial" w:eastAsia="Arial" w:hAnsi="Arial"/>
                <w:color w:val="2D2D2D"/>
                <w:sz w:val="20"/>
                <w:szCs w:val="20"/>
              </w:rPr>
              <w:t xml:space="preserve"/>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Automated agent that captures validated knowledge outputs from each phase and stages them into deterministic knowledge bases.</w:t>
            </w:r>
          </w:p>
        </w:tc>
      </w:tr>
      <w:tr>
        <w:tc>
          <w:tcPr>
            <w:tcW w:type="dxa" w:w="22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Legal Knowledge Graph (LKG)</w:t>
            </w:r>
            <w:r>
              <w:rPr>
                <w:rFonts w:ascii="Arial" w:cs="Arial" w:eastAsia="Arial" w:hAnsi="Arial"/>
                <w:color w:val="2D2D2D"/>
                <w:sz w:val="20"/>
                <w:szCs w:val="20"/>
              </w:rPr>
              <w:t xml:space="preserve"/>
            </w:r>
          </w:p>
        </w:tc>
        <w:tc>
          <w:tcPr>
            <w:tcW w:type="dxa" w:w="716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Graph database of legal clauses, regulatory requirements, contract types, and their semantic relationships for context-driven clause selection.</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Model Card</w:t>
            </w:r>
            <w:r>
              <w:rPr>
                <w:rFonts w:ascii="Arial" w:cs="Arial" w:eastAsia="Arial" w:hAnsi="Arial"/>
                <w:color w:val="2D2D2D"/>
                <w:sz w:val="20"/>
                <w:szCs w:val="20"/>
              </w:rPr>
              <w:t xml:space="preserve"/>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Structured document describing an AI model’s purpose, training data, metrics, limitations, and bias assessment per SR 11-7 standards.</w:t>
            </w:r>
          </w:p>
        </w:tc>
      </w:tr>
      <w:tr>
        <w:tc>
          <w:tcPr>
            <w:tcW w:type="dxa" w:w="22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MRM</w:t>
            </w:r>
            <w:r>
              <w:rPr>
                <w:rFonts w:ascii="Arial" w:cs="Arial" w:eastAsia="Arial" w:hAnsi="Arial"/>
                <w:color w:val="2D2D2D"/>
                <w:sz w:val="20"/>
                <w:szCs w:val="20"/>
              </w:rPr>
              <w:t xml:space="preserve"/>
            </w:r>
          </w:p>
        </w:tc>
        <w:tc>
          <w:tcPr>
            <w:tcW w:type="dxa" w:w="716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Model Risk Management: governance discipline for identifying, assessing, and mitigating risks from quantitative models, governed by SR 11-7.</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PRD</w:t>
            </w:r>
            <w:r>
              <w:rPr>
                <w:rFonts w:ascii="Arial" w:cs="Arial" w:eastAsia="Arial" w:hAnsi="Arial"/>
                <w:color w:val="2D2D2D"/>
                <w:sz w:val="20"/>
                <w:szCs w:val="20"/>
              </w:rPr>
              <w:t xml:space="preserve"/>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Product Requirements Document: structured artifact defining functional, non-functional, regulatory, and AI governance requirements.</w:t>
            </w:r>
          </w:p>
        </w:tc>
      </w:tr>
      <w:tr>
        <w:tc>
          <w:tcPr>
            <w:tcW w:type="dxa" w:w="22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RAE</w:t>
            </w:r>
            <w:r>
              <w:rPr>
                <w:rFonts w:ascii="Arial" w:cs="Arial" w:eastAsia="Arial" w:hAnsi="Arial"/>
                <w:color w:val="2D2D2D"/>
                <w:sz w:val="20"/>
                <w:szCs w:val="20"/>
              </w:rPr>
              <w:t xml:space="preserve"/>
            </w:r>
          </w:p>
        </w:tc>
        <w:tc>
          <w:tcPr>
            <w:tcW w:type="dxa" w:w="716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Risk Assessment Evaluation: formal vendor risk assessment during TPRM due diligence.</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SBOM</w:t>
            </w:r>
            <w:r>
              <w:rPr>
                <w:rFonts w:ascii="Arial" w:cs="Arial" w:eastAsia="Arial" w:hAnsi="Arial"/>
                <w:color w:val="2D2D2D"/>
                <w:sz w:val="20"/>
                <w:szCs w:val="20"/>
              </w:rPr>
              <w:t xml:space="preserve"/>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Software Bill of Materials: machine-readable record of all software components and dependencies.</w:t>
            </w:r>
          </w:p>
        </w:tc>
      </w:tr>
      <w:tr>
        <w:tc>
          <w:tcPr>
            <w:tcW w:type="dxa" w:w="22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Software Registry</w:t>
            </w:r>
            <w:r>
              <w:rPr>
                <w:rFonts w:ascii="Arial" w:cs="Arial" w:eastAsia="Arial" w:hAnsi="Arial"/>
                <w:color w:val="2D2D2D"/>
                <w:sz w:val="20"/>
                <w:szCs w:val="20"/>
              </w:rPr>
              <w:t xml:space="preserve"/>
            </w:r>
          </w:p>
        </w:tc>
        <w:tc>
          <w:tcPr>
            <w:tcW w:type="dxa" w:w="716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The institution’s authoritative, continuously-updated catalog of all software assets.</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SR 11-7</w:t>
            </w:r>
            <w:r>
              <w:rPr>
                <w:rFonts w:ascii="Arial" w:cs="Arial" w:eastAsia="Arial" w:hAnsi="Arial"/>
                <w:color w:val="2D2D2D"/>
                <w:sz w:val="20"/>
                <w:szCs w:val="20"/>
              </w:rPr>
              <w:t xml:space="preserve"/>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Federal Reserve Supervisory Letter 11-7 (2011): primary regulatory guidance for Model Risk Management.</w:t>
            </w:r>
          </w:p>
        </w:tc>
      </w:tr>
      <w:tr>
        <w:tc>
          <w:tcPr>
            <w:tcW w:type="dxa" w:w="22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TPRM</w:t>
            </w:r>
            <w:r>
              <w:rPr>
                <w:rFonts w:ascii="Arial" w:cs="Arial" w:eastAsia="Arial" w:hAnsi="Arial"/>
                <w:color w:val="2D2D2D"/>
                <w:sz w:val="20"/>
                <w:szCs w:val="20"/>
              </w:rPr>
              <w:t xml:space="preserve"/>
            </w:r>
          </w:p>
        </w:tc>
        <w:tc>
          <w:tcPr>
            <w:tcW w:type="dxa" w:w="716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Third-Party Risk Management: governance program for vendor/supplier risk throughout the relationship lifecycle.</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Vendor Risk Tier</w:t>
            </w:r>
            <w:r>
              <w:rPr>
                <w:rFonts w:ascii="Arial" w:cs="Arial" w:eastAsia="Arial" w:hAnsi="Arial"/>
                <w:color w:val="2D2D2D"/>
                <w:sz w:val="20"/>
                <w:szCs w:val="20"/>
              </w:rPr>
              <w:t xml:space="preserve"/>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color w:val="2D2D2D"/>
                <w:sz w:val="20"/>
                <w:szCs w:val="20"/>
              </w:rPr>
              <w:t xml:space="preserve">Classification (Tier 1–4) assigned to each vendor based on criticality, data sensitivity, concentration risk, and regulatory exposure.</w:t>
            </w:r>
          </w:p>
        </w:tc>
      </w:tr>
      <w:tr>
        <w:tc>
          <w:tcPr>
            <w:tcW w:type="dxa" w:w="22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
            </w:r>
            <w:r>
              <w:rPr>
                <w:rFonts w:ascii="Arial" w:cs="Arial" w:eastAsia="Arial" w:hAnsi="Arial"/>
                <w:b/>
                <w:bCs/>
                <w:color w:val="2D2D2D"/>
                <w:sz w:val="20"/>
                <w:szCs w:val="20"/>
              </w:rPr>
              <w:t xml:space="preserve">WORM Storage</w:t>
            </w:r>
            <w:r>
              <w:rPr>
                <w:rFonts w:ascii="Arial" w:cs="Arial" w:eastAsia="Arial" w:hAnsi="Arial"/>
                <w:color w:val="2D2D2D"/>
                <w:sz w:val="20"/>
                <w:szCs w:val="20"/>
              </w:rPr>
              <w:t xml:space="preserve"/>
            </w:r>
          </w:p>
        </w:tc>
        <w:tc>
          <w:tcPr>
            <w:tcW w:type="dxa" w:w="716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vAlign w:val="center"/>
          </w:tcPr>
          <w:p>
            <w:r>
              <w:rPr>
                <w:rFonts w:ascii="Arial" w:cs="Arial" w:eastAsia="Arial" w:hAnsi="Arial"/>
                <w:color w:val="2D2D2D"/>
                <w:sz w:val="20"/>
                <w:szCs w:val="20"/>
              </w:rPr>
              <w:t xml:space="preserve">Write Once, Read Many: storage architecture where records cannot be modified after initial write, satisfying regulatory preservation requirements.</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5C" w:sz="4" w:space="4"/>
      </w:pBdr>
    </w:pPr>
    <w:r>
      <w:rPr>
        <w:rFonts w:ascii="Arial" w:cs="Arial" w:eastAsia="Arial" w:hAnsi="Arial"/>
        <w:color w:val="2D2D2D"/>
        <w:sz w:val="16"/>
        <w:szCs w:val="16"/>
      </w:rPr>
      <w:t xml:space="preserve">Internal / Confidential</w:t>
    </w:r>
    <w:r>
      <w:ptab w:alignment="right" w:relativeTo="margin" w:leader="none"/>
    </w:r>
    <w:r>
      <w:rPr>
        <w:rFonts w:ascii="Arial" w:cs="Arial" w:eastAsia="Arial" w:hAnsi="Arial"/>
        <w:color w:val="2D2D2D"/>
        <w:sz w:val="16"/>
        <w:szCs w:val="16"/>
      </w:rPr>
      <w:t xml:space="preserve">Page </w:t>
    </w:r>
    <w:r>
      <w:rPr>
        <w:rFonts w:ascii="Arial" w:cs="Arial" w:eastAsia="Arial" w:hAnsi="Arial"/>
        <w:color w:val="2D2D2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4"/>
      </w:pBdr>
    </w:pPr>
    <w:r>
      <w:rPr>
        <w:rFonts w:ascii="Arial" w:cs="Arial" w:eastAsia="Arial" w:hAnsi="Arial"/>
        <w:i/>
        <w:iCs/>
        <w:color w:val="1B3A5C"/>
        <w:sz w:val="16"/>
        <w:szCs w:val="16"/>
      </w:rPr>
      <w:t xml:space="preserve">Enterprise Software Governance  |  Intake-to-Deployment Framework</w:t>
    </w:r>
    <w:r>
      <w:ptab w:alignment="right" w:relativeTo="margin" w:leader="none"/>
    </w:r>
    <w:r>
      <w:rPr>
        <w:rFonts w:ascii="Arial" w:cs="Arial" w:eastAsia="Arial" w:hAnsi="Arial"/>
        <w:i/>
        <w:iCs/>
        <w:color w:val="0D7377"/>
        <w:sz w:val="16"/>
        <w:szCs w:val="16"/>
      </w:rPr>
      <w:t xml:space="preserve">BPMN-Governed  |  DMN-Driven  |  Agent-Ready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300" w:after="120"/>
      <w:outlineLvl w:val="1"/>
    </w:pPr>
    <w:rPr>
      <w:rFonts w:ascii="Arial" w:cs="Arial" w:eastAsia="Arial" w:hAnsi="Arial"/>
      <w:b/>
      <w:bCs/>
      <w:color w:val="2C5F8A"/>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3B7DD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2026-03-01T21:21:09.701Z</dcterms:created>
  <dcterms:modified xsi:type="dcterms:W3CDTF">2026-03-01T21:21:09.701Z</dcterms:modified>
</cp:coreProperties>
</file>

<file path=docProps/custom.xml><?xml version="1.0" encoding="utf-8"?>
<Properties xmlns="http://schemas.openxmlformats.org/officeDocument/2006/custom-properties" xmlns:vt="http://schemas.openxmlformats.org/officeDocument/2006/docPropsVTypes"/>
</file>