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left"/>
      </w:pPr>
      <w:r>
        <w:rPr>
          <w:rFonts w:ascii="Arial" w:cs="Arial" w:eastAsia="Arial" w:hAnsi="Arial"/>
          <w:b w:val="false"/>
          <w:bCs w:val="false"/>
          <w:i w:val="false"/>
          <w:iCs w:val="false"/>
          <w:color w:val="333333"/>
          <w:sz w:val="22"/>
          <w:szCs w:val="22"/>
        </w:rPr>
        <w:t xml:space="preserve"/>
      </w:r>
    </w:p>
    <w:p>
      <w:pPr>
        <w:spacing w:after="200"/>
        <w:jc w:val="center"/>
      </w:pPr>
      <w:r>
        <w:rPr>
          <w:rFonts w:ascii="Arial" w:cs="Arial" w:eastAsia="Arial" w:hAnsi="Arial"/>
          <w:b/>
          <w:bCs/>
          <w:color w:val="003366"/>
          <w:sz w:val="52"/>
          <w:szCs w:val="52"/>
        </w:rPr>
        <w:t xml:space="preserve">Enterprise Software Governance</w:t>
      </w:r>
    </w:p>
    <w:p>
      <w:pPr>
        <w:spacing w:after="200"/>
        <w:jc w:val="center"/>
      </w:pPr>
      <w:r>
        <w:rPr>
          <w:rFonts w:ascii="Arial" w:cs="Arial" w:eastAsia="Arial" w:hAnsi="Arial"/>
          <w:color w:val="0066CC"/>
          <w:sz w:val="36"/>
          <w:szCs w:val="36"/>
        </w:rPr>
        <w:t xml:space="preserve">Integrated TPRM, AI Governance &amp; PDLC Framework</w:t>
      </w:r>
    </w:p>
    <w:p>
      <w:pPr>
        <w:spacing w:after="100"/>
        <w:jc w:val="center"/>
      </w:pPr>
      <w:r>
        <w:rPr>
          <w:rFonts w:ascii="Arial" w:cs="Arial" w:eastAsia="Arial" w:hAnsi="Arial"/>
          <w:color w:val="666666"/>
          <w:sz w:val="28"/>
          <w:szCs w:val="28"/>
        </w:rPr>
        <w:t xml:space="preserve">Version 2.0 | Comprehensive End-to-End Lifecycle</w:t>
      </w:r>
    </w:p>
    <w:p>
      <w:pPr>
        <w:spacing w:after="600"/>
        <w:jc w:val="left"/>
      </w:pPr>
      <w:r>
        <w:rPr>
          <w:rFonts w:ascii="Arial" w:cs="Arial" w:eastAsia="Arial" w:hAnsi="Arial"/>
          <w:b w:val="false"/>
          <w:bCs w:val="false"/>
          <w:i w:val="false"/>
          <w:iCs w:val="false"/>
          <w:color w:val="333333"/>
          <w:sz w:val="22"/>
          <w:szCs w:val="22"/>
        </w:rPr>
        <w:t xml:space="preserve"/>
      </w:r>
    </w:p>
    <w:p>
      <w:pPr>
        <w:spacing w:after="100"/>
        <w:jc w:val="center"/>
      </w:pPr>
      <w:r>
        <w:rPr>
          <w:rFonts w:ascii="Arial" w:cs="Arial" w:eastAsia="Arial" w:hAnsi="Arial"/>
          <w:i/>
          <w:iCs/>
          <w:color w:val="666666"/>
          <w:sz w:val="22"/>
          <w:szCs w:val="22"/>
        </w:rPr>
        <w:t xml:space="preserve">BPMN-Driven Workflow | Deterministic Knowledge Capture | Automation-First Design</w:t>
      </w:r>
    </w:p>
    <w:p>
      <w:pPr>
        <w:spacing w:after="100"/>
        <w:jc w:val="center"/>
      </w:pPr>
      <w:r>
        <w:rPr>
          <w:rFonts w:ascii="Arial" w:cs="Arial" w:eastAsia="Arial" w:hAnsi="Arial"/>
          <w:color w:val="666666"/>
          <w:sz w:val="22"/>
          <w:szCs w:val="22"/>
        </w:rPr>
        <w:t xml:space="preserve">From Idea Inception Through Asset Retirement</w:t>
      </w:r>
    </w:p>
    <w:p>
      <w:pPr>
        <w:spacing w:after="1200"/>
        <w:jc w:val="left"/>
      </w:pPr>
      <w:r>
        <w:rPr>
          <w:rFonts w:ascii="Arial" w:cs="Arial" w:eastAsia="Arial" w:hAnsi="Arial"/>
          <w:b w:val="false"/>
          <w:bCs w:val="false"/>
          <w:i w:val="false"/>
          <w:iCs w:val="false"/>
          <w:color w:val="333333"/>
          <w:sz w:val="22"/>
          <w:szCs w:val="22"/>
        </w:rPr>
        <w:t xml:space="preserve"/>
      </w:r>
    </w:p>
    <w:p>
      <w:pPr>
        <w:jc w:val="center"/>
      </w:pPr>
      <w:r>
        <w:rPr>
          <w:rFonts w:ascii="Arial" w:cs="Arial" w:eastAsia="Arial" w:hAnsi="Arial"/>
          <w:b/>
          <w:bCs/>
          <w:color w:val="003366"/>
          <w:sz w:val="24"/>
          <w:szCs w:val="24"/>
        </w:rPr>
        <w:t xml:space="preserve">March 2026 | CONFIDENTIAL</w:t>
      </w:r>
    </w:p>
    <w:p>
      <w:r>
        <w:br w:type="page"/>
      </w:r>
    </w:p>
    <w:p>
      <w:pPr>
        <w:pStyle w:val="Heading1"/>
        <w:spacing w:after="120" w:before="360"/>
      </w:pPr>
      <w:r>
        <w:rPr>
          <w:rFonts w:ascii="Arial" w:cs="Arial" w:eastAsia="Arial" w:hAnsi="Arial"/>
          <w:b/>
          <w:bCs/>
          <w:color w:val="00336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003366"/>
          <w:sz w:val="32"/>
          <w:szCs w:val="32"/>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document establishes a fully integrated, end-to-end governance framework that unifies Third-Party Risk Management (TPRM), AI Governance, the Product Development Lifecycle (PDLC), and Enterprise Software Governance into a single, BPMN-driven operating model. It provides the authoritative baseline for managing the complete lifecycle of engineering initiatives—from the initial onboarding of a new idea or vendor through development, deployment, continuous monitoring, and eventual retirement of the asset.</w:t>
      </w:r>
    </w:p>
    <w:p>
      <w:pPr>
        <w:spacing w:after="120"/>
        <w:jc w:val="left"/>
      </w:pPr>
      <w:r>
        <w:rPr>
          <w:rFonts w:ascii="Arial" w:cs="Arial" w:eastAsia="Arial" w:hAnsi="Arial"/>
          <w:b w:val="false"/>
          <w:bCs w:val="false"/>
          <w:i w:val="false"/>
          <w:iCs w:val="false"/>
          <w:color w:val="333333"/>
          <w:sz w:val="22"/>
          <w:szCs w:val="22"/>
        </w:rPr>
        <w:t xml:space="preserve">The framework is designed around three foundational principles: (1) deterministic knowledge capture that front-loads information harvesting to compress downstream cycle times; (2) automation-first design that identifies every opportunity for AI-driven acceleration across the lifecycle; and (3) governance-by-design that ensures no control gaps exist between TPRM, AI governance, legal, risk, compliance, security, and regulatory obligations.</w:t>
      </w:r>
    </w:p>
    <w:p>
      <w:pPr>
        <w:spacing w:after="120"/>
        <w:jc w:val="left"/>
      </w:pPr>
      <w:r>
        <w:rPr>
          <w:rFonts w:ascii="Arial" w:cs="Arial" w:eastAsia="Arial" w:hAnsi="Arial"/>
          <w:b w:val="false"/>
          <w:bCs w:val="false"/>
          <w:i w:val="false"/>
          <w:iCs w:val="false"/>
          <w:color w:val="333333"/>
          <w:sz w:val="22"/>
          <w:szCs w:val="22"/>
        </w:rPr>
        <w:t xml:space="preserve">By integrating best-practice cycle times at the task, activity, functional, and overall lifecycle levels, this document establishes clear Service Level Agreements (SLAs) and provides the operational visibility needed to identify bottlenecks, eliminate rework, and drive continuous process improvement. The target end-to-end lifecycle for a standard-risk vendor onboarding is compressed from the industry average of 90–120 days to a best-practice target of 35–50 days through systematic application of the acceleration strategies detailed herein.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3366" w:sz="6"/>
              <w:left w:val="single" w:color="BBBBBB" w:sz="1"/>
              <w:bottom w:val="single" w:color="BBBBBB" w:sz="1"/>
              <w:right w:val="single" w:color="BBBBBB" w:sz="1"/>
            </w:tcBorders>
            <w:shd w:fill="F2F7FC" w:val="clear"/>
            <w:tcMar>
              <w:top w:type="dxa" w:w="100"/>
              <w:left w:type="dxa" w:w="160"/>
              <w:bottom w:type="dxa" w:w="100"/>
              <w:right w:type="dxa" w:w="160"/>
            </w:tcMar>
          </w:tcPr>
          <w:p>
            <w:pPr>
              <w:spacing w:after="60"/>
            </w:pPr>
            <w:r>
              <w:rPr>
                <w:rFonts w:ascii="Arial" w:cs="Arial" w:eastAsia="Arial" w:hAnsi="Arial"/>
                <w:b/>
                <w:bCs/>
                <w:color w:val="003366"/>
                <w:sz w:val="22"/>
                <w:szCs w:val="22"/>
              </w:rPr>
              <w:t xml:space="preserve">Key Outcomes Delivered by This Framework</w:t>
            </w:r>
          </w:p>
          <w:p>
            <w:r>
              <w:rPr>
                <w:rFonts w:ascii="Arial" w:cs="Arial" w:eastAsia="Arial" w:hAnsi="Arial"/>
                <w:color w:val="333333"/>
                <w:sz w:val="20"/>
                <w:szCs w:val="20"/>
              </w:rPr>
              <w:t xml:space="preserve">Complete BPMN lifecycle from idea inception to asset retirement with RACI accountability at every node | Best-practice cycle times for all 8 phases, 42 activities, and 180+ sub-tasks | Automation mapping showing Full, Partial, and Manual designations for every task | Front-loaded knowledge capture model that eliminates 60%+ of downstream rework | Integrated governance controls spanning TPRM, AI, Legal, Risk, Compliance, and Security | Dependency and traceability matrix connecting inputs, outputs, owners, and SLA implications across all functions | Measurable cycle-time reduction targets anchored to deterministic knowledge foundations</w:t>
            </w:r>
          </w:p>
        </w:tc>
      </w:tr>
    </w:tbl>
    <w:p>
      <w:r>
        <w:br w:type="page"/>
      </w:r>
    </w:p>
    <w:p>
      <w:pPr>
        <w:pStyle w:val="Heading1"/>
        <w:spacing w:after="120" w:before="360"/>
      </w:pPr>
      <w:r>
        <w:rPr>
          <w:rFonts w:ascii="Arial" w:cs="Arial" w:eastAsia="Arial" w:hAnsi="Arial"/>
          <w:b/>
          <w:bCs/>
          <w:color w:val="003366"/>
          <w:sz w:val="32"/>
          <w:szCs w:val="32"/>
        </w:rPr>
        <w:t xml:space="preserve">2. Integrated and Transparent AI Governance Operating Model</w:t>
      </w:r>
    </w:p>
    <w:p>
      <w:pPr>
        <w:spacing w:after="120"/>
        <w:jc w:val="left"/>
      </w:pPr>
      <w:r>
        <w:rPr>
          <w:rFonts w:ascii="Arial" w:cs="Arial" w:eastAsia="Arial" w:hAnsi="Arial"/>
          <w:b w:val="false"/>
          <w:bCs w:val="false"/>
          <w:i w:val="false"/>
          <w:iCs w:val="false"/>
          <w:color w:val="333333"/>
          <w:sz w:val="22"/>
          <w:szCs w:val="22"/>
        </w:rPr>
        <w:t xml:space="preserve">The governance operating model establishes an end-to-end transparent AI governance program in which all processes and sub-processes are fully defined with RACI role definitions driving alignment across the organization and extended stakeholder teams. This model, derived from the attached governance framework, defines the primary BPMN workflow that manages the lifecycle of every engineering initiative.</w:t>
      </w:r>
    </w:p>
    <w:p>
      <w:pPr>
        <w:pStyle w:val="Heading2"/>
        <w:spacing w:after="120" w:before="240"/>
      </w:pPr>
      <w:r>
        <w:rPr>
          <w:rFonts w:ascii="Arial" w:cs="Arial" w:eastAsia="Arial" w:hAnsi="Arial"/>
          <w:b/>
          <w:bCs/>
          <w:color w:val="0066CC"/>
          <w:sz w:val="28"/>
          <w:szCs w:val="28"/>
        </w:rPr>
        <w:t xml:space="preserve">2.1 Primary BPMN Workflow Architecture</w:t>
      </w:r>
    </w:p>
    <w:p>
      <w:pPr>
        <w:spacing w:after="120"/>
        <w:jc w:val="left"/>
      </w:pPr>
      <w:r>
        <w:rPr>
          <w:rFonts w:ascii="Arial" w:cs="Arial" w:eastAsia="Arial" w:hAnsi="Arial"/>
          <w:b w:val="false"/>
          <w:bCs w:val="false"/>
          <w:i w:val="false"/>
          <w:iCs w:val="false"/>
          <w:color w:val="333333"/>
          <w:sz w:val="22"/>
          <w:szCs w:val="22"/>
        </w:rPr>
        <w:t xml:space="preserve">The master workflow follows a sequential, gate-controlled process with decision points that route initiatives through appropriate governance review paths based on risk classification. The process is designed as a BPMN 2.0 compliant workflow suitable for orchestration through Camunda, jBPM, or equivalent BPM engines.</w:t>
      </w:r>
    </w:p>
    <w:p>
      <w:pPr>
        <w:pStyle w:val="Heading3"/>
        <w:spacing w:after="120" w:before="240"/>
      </w:pPr>
      <w:r>
        <w:rPr>
          <w:rFonts w:ascii="Arial" w:cs="Arial" w:eastAsia="Arial" w:hAnsi="Arial"/>
          <w:b/>
          <w:bCs/>
          <w:color w:val="333333"/>
          <w:sz w:val="24"/>
          <w:szCs w:val="24"/>
        </w:rPr>
        <w:t xml:space="preserve">2.1.1 Master Workflow Stages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400"/>
        <w:gridCol w:w="1800"/>
        <w:gridCol w:w="1800"/>
        <w:gridCol w:w="2400"/>
      </w:tblGrid>
      <w:tr>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Gate Type</w:t>
            </w:r>
          </w:p>
        </w:tc>
        <w:tc>
          <w:tcPr>
            <w:tcW w:type="dxa" w:w="1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Outcome</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1. Initiation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Start AI Use Case Governance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Start 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Intake form triggered, Use Case Data collected</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2. Value Assessment</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 Case Value Assessment</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Task</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Business case validated, strategic alignment confirmed</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3. Risk Classification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Initial Risk Assessment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Exclusive Gateway (XOR)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Tier: High / Limited / Minimal / Unacceptable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tier assigned, routes to appropriate review path</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4. Governance Review</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 Review and Approve</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Sub-Process + XOR Gateway</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 / Rejected</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 proceed to Controls | Rejected: Use Case Rejected end event</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5. Controls Implementation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Controls Implementation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Task</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required controls configured and evidence collection initiated</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6. SDLC Development</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SDLC Development</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Sub-Process</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Solution built, tested, and ready for deployment review</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7. Deployment Decision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Deployment Decision Gate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Exclusive Gateway (XOR)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 / Rejected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 Use Case in Production | Rejected: Use Case Rejected end event</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8. Production Operations</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Production Operation and Monitoring</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Sub-Process with Loop</w:t>
            </w:r>
          </w:p>
        </w:tc>
        <w:tc>
          <w:tcPr>
            <w:tcW w:type="dxa" w:w="1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Continue / Change / Retire</w:t>
            </w:r>
          </w:p>
        </w:tc>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monitoring with control-based cadence; routes to Change Mgmt, Continuous Improvement, or Decommission</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9. End States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Retirement / Termination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End Events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Retired / Terminated / Rejected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 Case Retired (graceful), Use Case Terminated (immediate), or Use Case Rejected (denied)</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2.2 Risk Assessment Sub-Process (BPMN Detail)</w:t>
      </w:r>
    </w:p>
    <w:p>
      <w:pPr>
        <w:spacing w:after="120"/>
        <w:jc w:val="left"/>
      </w:pPr>
      <w:r>
        <w:rPr>
          <w:rFonts w:ascii="Arial" w:cs="Arial" w:eastAsia="Arial" w:hAnsi="Arial"/>
          <w:b w:val="false"/>
          <w:bCs w:val="false"/>
          <w:i w:val="false"/>
          <w:iCs w:val="false"/>
          <w:color w:val="333333"/>
          <w:sz w:val="22"/>
          <w:szCs w:val="22"/>
        </w:rPr>
        <w:t xml:space="preserve">The Risk Management Review and Approve Process begins with a Risk Classification gateway that routes to four distinct paths based on the assessed risk tier. Each path has a defined sub-process with escalation mechanisms built into the BPMN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520"/>
        <w:gridCol w:w="1680"/>
        <w:gridCol w:w="1680"/>
      </w:tblGrid>
      <w:tr>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Tier</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Process</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 Authority</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Escalation Path</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Cycle Time</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Minimal Risk</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Fast Path Review: Automated checks against pre-approved criteria with minimal human intervention</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Fast Path Reviewer (delegated authority)</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Escalated to Governance Committee if criteria not met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1–2 business days</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Limited Risk</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 Committee Review: Standard review with compliance cross-reference and stakeholder sign-off</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 Committee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Escalated to Advisory Board if committee cannot reach consensus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3–5 business days</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High Risk</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Governance Advisory Board: Full board review with legal, compliance, risk, and security representation</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Governance Advisory Board</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Rejected (no further escalation) or Exception Management Review</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5–10 business days</w:t>
            </w:r>
          </w:p>
        </w:tc>
      </w:tr>
      <w:tr>
        <w:tc>
          <w:tcPr>
            <w:tcW w:type="dxa" w:w="1680"/>
            <w:tcBorders>
              <w:top w:val="single" w:color="BBBBBB" w:sz="1"/>
              <w:left w:val="single" w:color="BBBBBB" w:sz="1"/>
              <w:bottom w:val="single" w:color="BBBBBB" w:sz="1"/>
              <w:right w:val="single" w:color="BBBBBB" w:sz="1"/>
            </w:tcBorders>
            <w:shd w:fill="FFF5EB" w:val="clear"/>
            <w:tcMar>
              <w:top w:type="dxa" w:w="60"/>
              <w:left w:type="dxa" w:w="100"/>
              <w:bottom w:type="dxa" w:w="60"/>
              <w:right w:type="dxa" w:w="100"/>
            </w:tcMar>
            <w:vAlign w:val="center"/>
          </w:tcPr>
          <w:p>
            <w:r>
              <w:rPr>
                <w:rFonts w:ascii="Arial" w:cs="Arial" w:eastAsia="Arial" w:hAnsi="Arial"/>
                <w:b/>
                <w:bCs/>
                <w:color w:val="333333"/>
                <w:sz w:val="18"/>
                <w:szCs w:val="18"/>
              </w:rPr>
              <w:t xml:space="preserve">Unacceptable Risk</w:t>
            </w:r>
          </w:p>
        </w:tc>
        <w:tc>
          <w:tcPr>
            <w:tcW w:type="dxa" w:w="2520"/>
            <w:tcBorders>
              <w:top w:val="single" w:color="BBBBBB" w:sz="1"/>
              <w:left w:val="single" w:color="BBBBBB" w:sz="1"/>
              <w:bottom w:val="single" w:color="BBBBBB" w:sz="1"/>
              <w:right w:val="single" w:color="BBBBBB" w:sz="1"/>
            </w:tcBorders>
            <w:shd w:fill="FFF5EB"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Automatic rejection: Use case does not proceed under any circumstance</w:t>
            </w:r>
          </w:p>
        </w:tc>
        <w:tc>
          <w:tcPr>
            <w:tcW w:type="dxa" w:w="2520"/>
            <w:tcBorders>
              <w:top w:val="single" w:color="BBBBBB" w:sz="1"/>
              <w:left w:val="single" w:color="BBBBBB" w:sz="1"/>
              <w:bottom w:val="single" w:color="BBBBBB" w:sz="1"/>
              <w:right w:val="single" w:color="BBBBBB" w:sz="1"/>
            </w:tcBorders>
            <w:shd w:fill="FFF5EB"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(deterministic rule)</w:t>
            </w:r>
          </w:p>
        </w:tc>
        <w:tc>
          <w:tcPr>
            <w:tcW w:type="dxa" w:w="1680"/>
            <w:tcBorders>
              <w:top w:val="single" w:color="BBBBBB" w:sz="1"/>
              <w:left w:val="single" w:color="BBBBBB" w:sz="1"/>
              <w:bottom w:val="single" w:color="BBBBBB" w:sz="1"/>
              <w:right w:val="single" w:color="BBBBBB" w:sz="1"/>
            </w:tcBorders>
            <w:shd w:fill="FFF5EB"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None—final determination</w:t>
            </w:r>
          </w:p>
        </w:tc>
        <w:tc>
          <w:tcPr>
            <w:tcW w:type="dxa" w:w="1680"/>
            <w:tcBorders>
              <w:top w:val="single" w:color="BBBBBB" w:sz="1"/>
              <w:left w:val="single" w:color="BBBBBB" w:sz="1"/>
              <w:bottom w:val="single" w:color="BBBBBB" w:sz="1"/>
              <w:right w:val="single" w:color="BBBBBB" w:sz="1"/>
            </w:tcBorders>
            <w:shd w:fill="FFF5EB"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Immediate</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2.3 Production Operation and Monitoring Sub-Process</w:t>
      </w:r>
    </w:p>
    <w:p>
      <w:pPr>
        <w:spacing w:after="120"/>
        <w:jc w:val="left"/>
      </w:pPr>
      <w:r>
        <w:rPr>
          <w:rFonts w:ascii="Arial" w:cs="Arial" w:eastAsia="Arial" w:hAnsi="Arial"/>
          <w:b w:val="false"/>
          <w:bCs w:val="false"/>
          <w:i w:val="false"/>
          <w:iCs w:val="false"/>
          <w:color w:val="333333"/>
          <w:sz w:val="22"/>
          <w:szCs w:val="22"/>
        </w:rPr>
        <w:t xml:space="preserve">Once a use case enters production, the monitoring sub-process activates a continuous loop that reviews evidence collected for each assigned control. The BPMN flow includes three routing paths from the "What’s Next?" exclusive gateway:</w:t>
      </w:r>
    </w:p>
    <w:p>
      <w:pPr>
        <w:spacing w:after="120"/>
      </w:pPr>
      <w:r>
        <w:rPr>
          <w:rFonts w:ascii="Arial" w:cs="Arial" w:eastAsia="Arial" w:hAnsi="Arial"/>
          <w:b/>
          <w:bCs/>
          <w:color w:val="333333"/>
          <w:sz w:val="22"/>
          <w:szCs w:val="22"/>
        </w:rPr>
        <w:t xml:space="preserve">Continue Path: </w:t>
      </w:r>
      <w:r>
        <w:rPr>
          <w:rFonts w:ascii="Arial" w:cs="Arial" w:eastAsia="Arial" w:hAnsi="Arial"/>
          <w:color w:val="333333"/>
          <w:sz w:val="22"/>
          <w:szCs w:val="22"/>
        </w:rPr>
        <w:t xml:space="preserve">Routes to Continuous Improvement, then to a parallel gateway that manages both Control-Based Monitoring Cadence (timer-triggered) and Trigger Review on Demand (message-triggered). The loop returns to Production Operation and Monitoring for the next cycle.</w:t>
      </w:r>
    </w:p>
    <w:p>
      <w:pPr>
        <w:spacing w:after="120"/>
      </w:pPr>
      <w:r>
        <w:rPr>
          <w:rFonts w:ascii="Arial" w:cs="Arial" w:eastAsia="Arial" w:hAnsi="Arial"/>
          <w:b/>
          <w:bCs/>
          <w:color w:val="333333"/>
          <w:sz w:val="22"/>
          <w:szCs w:val="22"/>
        </w:rPr>
        <w:t xml:space="preserve">Change Path: </w:t>
      </w:r>
      <w:r>
        <w:rPr>
          <w:rFonts w:ascii="Arial" w:cs="Arial" w:eastAsia="Arial" w:hAnsi="Arial"/>
          <w:color w:val="333333"/>
          <w:sz w:val="22"/>
          <w:szCs w:val="22"/>
        </w:rPr>
        <w:t xml:space="preserve">Routes to Change Management sub-process, which triggers a new governance review cycle for material changes, ensuring all modifications are assessed against the original risk classification and control requirements.</w:t>
      </w:r>
    </w:p>
    <w:p>
      <w:pPr>
        <w:spacing w:after="120"/>
      </w:pPr>
      <w:r>
        <w:rPr>
          <w:rFonts w:ascii="Arial" w:cs="Arial" w:eastAsia="Arial" w:hAnsi="Arial"/>
          <w:b/>
          <w:bCs/>
          <w:color w:val="333333"/>
          <w:sz w:val="22"/>
          <w:szCs w:val="22"/>
        </w:rPr>
        <w:t xml:space="preserve">Retire Path: </w:t>
      </w:r>
      <w:r>
        <w:rPr>
          <w:rFonts w:ascii="Arial" w:cs="Arial" w:eastAsia="Arial" w:hAnsi="Arial"/>
          <w:color w:val="333333"/>
          <w:sz w:val="22"/>
          <w:szCs w:val="22"/>
        </w:rPr>
        <w:t xml:space="preserve">Routes to Decommission Plan sub-process, which manages knowledge capture, data archival, dependency unwinding, and notification workflows before reaching the Retired end event.</w:t>
      </w:r>
    </w:p>
    <w:p>
      <w:pPr>
        <w:spacing w:after="120"/>
        <w:jc w:val="left"/>
      </w:pPr>
      <w:r>
        <w:rPr>
          <w:rFonts w:ascii="Arial" w:cs="Arial" w:eastAsia="Arial" w:hAnsi="Arial"/>
          <w:b w:val="false"/>
          <w:bCs w:val="false"/>
          <w:i w:val="false"/>
          <w:iCs w:val="false"/>
          <w:color w:val="333333"/>
          <w:sz w:val="22"/>
          <w:szCs w:val="22"/>
        </w:rPr>
        <w:t xml:space="preserve">The monitoring sub-process also includes two terminal end states accessible from the outer loop: Use Case Retired (graceful wind-down) and Use Case Terminated (immediate cessation due to compliance breach, security incident, or strategic decision).</w:t>
      </w:r>
    </w:p>
    <w:p>
      <w:r>
        <w:br w:type="page"/>
      </w:r>
    </w:p>
    <w:p>
      <w:pPr>
        <w:pStyle w:val="Heading1"/>
        <w:spacing w:after="120" w:before="360"/>
      </w:pPr>
      <w:r>
        <w:rPr>
          <w:rFonts w:ascii="Arial" w:cs="Arial" w:eastAsia="Arial" w:hAnsi="Arial"/>
          <w:b/>
          <w:bCs/>
          <w:color w:val="003366"/>
          <w:sz w:val="32"/>
          <w:szCs w:val="32"/>
        </w:rPr>
        <w:t xml:space="preserve">3. Third-Party Risk Management Framework: Authoritative Baseline</w:t>
      </w:r>
    </w:p>
    <w:p>
      <w:pPr>
        <w:spacing w:after="120"/>
        <w:jc w:val="left"/>
      </w:pPr>
      <w:r>
        <w:rPr>
          <w:rFonts w:ascii="Arial" w:cs="Arial" w:eastAsia="Arial" w:hAnsi="Arial"/>
          <w:b w:val="false"/>
          <w:bCs w:val="false"/>
          <w:i w:val="false"/>
          <w:iCs w:val="false"/>
          <w:color w:val="333333"/>
          <w:sz w:val="22"/>
          <w:szCs w:val="22"/>
        </w:rPr>
        <w:t xml:space="preserve">The contemporary financial services landscape is no longer a collection of discrete institutions but a hyper-connected mesh of banks, brokerages, and specialized technology providers. As organizations increasingly outsource core functions—ranging from cloud-native ledger systems and high-frequency trading algorithms to customer-facing artificial intelligence (AI) interfaces—the traditional perimeter of the enterprise has dissolved. This paradigm shift has elevated Third-Party Risk Management (TPRM) from a defensive compliance obligation to a primary driver of strategic resilience and competitive differentiation. Within the highly regulated corridors of banking and finance, the ability to identify, assess, and mitigate risks across a sprawling supply chain is not merely a matter of security but a requirement for institutional survival.</w:t>
      </w:r>
    </w:p>
    <w:p>
      <w:pPr>
        <w:pStyle w:val="Heading2"/>
        <w:spacing w:after="120" w:before="240"/>
      </w:pPr>
      <w:r>
        <w:rPr>
          <w:rFonts w:ascii="Arial" w:cs="Arial" w:eastAsia="Arial" w:hAnsi="Arial"/>
          <w:b/>
          <w:bCs/>
          <w:color w:val="0066CC"/>
          <w:sz w:val="28"/>
          <w:szCs w:val="28"/>
        </w:rPr>
        <w:t xml:space="preserve">3.1 The Governance Imperative and Organizational RACI Structure</w:t>
      </w:r>
    </w:p>
    <w:p>
      <w:pPr>
        <w:spacing w:after="120"/>
        <w:jc w:val="left"/>
      </w:pPr>
      <w:r>
        <w:rPr>
          <w:rFonts w:ascii="Arial" w:cs="Arial" w:eastAsia="Arial" w:hAnsi="Arial"/>
          <w:b w:val="false"/>
          <w:bCs w:val="false"/>
          <w:i w:val="false"/>
          <w:iCs w:val="false"/>
          <w:color w:val="333333"/>
          <w:sz w:val="22"/>
          <w:szCs w:val="22"/>
        </w:rPr>
        <w:t xml:space="preserve">At the heart of a robust TPRM program is a multi-disciplinary governance structure that aligns risk management activities with the institution’s broader risk appetite and strategic objectives. Financial institutions typically adopt a "three lines of defense" model, where accountability is distributed across the business, risk functions, and internal audit.</w:t>
      </w:r>
    </w:p>
    <w:p>
      <w:pPr>
        <w:pStyle w:val="Heading3"/>
        <w:spacing w:after="120" w:before="240"/>
      </w:pPr>
      <w:r>
        <w:rPr>
          <w:rFonts w:ascii="Arial" w:cs="Arial" w:eastAsia="Arial" w:hAnsi="Arial"/>
          <w:b/>
          <w:bCs/>
          <w:color w:val="333333"/>
          <w:sz w:val="24"/>
          <w:szCs w:val="24"/>
        </w:rPr>
        <w:t xml:space="preserve">3.1.1 The Role of Legal: Contractual Enforcement and Liability Management</w:t>
      </w:r>
    </w:p>
    <w:p>
      <w:pPr>
        <w:spacing w:after="120"/>
        <w:jc w:val="left"/>
      </w:pPr>
      <w:r>
        <w:rPr>
          <w:rFonts w:ascii="Arial" w:cs="Arial" w:eastAsia="Arial" w:hAnsi="Arial"/>
          <w:b w:val="false"/>
          <w:bCs w:val="false"/>
          <w:i w:val="false"/>
          <w:iCs w:val="false"/>
          <w:color w:val="333333"/>
          <w:sz w:val="22"/>
          <w:szCs w:val="22"/>
        </w:rPr>
        <w:t xml:space="preserve">The Legal department ensures risk management expectations are codified into enforceable agreements. Beyond drafting, legal experts focus on "Right to Audit" clauses and Data Processing Addendums (DPAs) that satisfy global privacy mandates like GDPR and CCPA. Legal counsel is also instrumental in defining "Step-in Rights" for operational failures.</w:t>
      </w:r>
    </w:p>
    <w:p>
      <w:pPr>
        <w:pStyle w:val="Heading3"/>
        <w:spacing w:after="120" w:before="240"/>
      </w:pPr>
      <w:r>
        <w:rPr>
          <w:rFonts w:ascii="Arial" w:cs="Arial" w:eastAsia="Arial" w:hAnsi="Arial"/>
          <w:b/>
          <w:bCs/>
          <w:color w:val="333333"/>
          <w:sz w:val="24"/>
          <w:szCs w:val="24"/>
        </w:rPr>
        <w:t xml:space="preserve">3.1.2 The Role of Cybersecurity: Technical Assurance and Nth-Party Visibility</w:t>
      </w:r>
    </w:p>
    <w:p>
      <w:pPr>
        <w:spacing w:after="120"/>
        <w:jc w:val="left"/>
      </w:pPr>
      <w:r>
        <w:rPr>
          <w:rFonts w:ascii="Arial" w:cs="Arial" w:eastAsia="Arial" w:hAnsi="Arial"/>
          <w:b w:val="false"/>
          <w:bCs w:val="false"/>
          <w:i w:val="false"/>
          <w:iCs w:val="false"/>
          <w:color w:val="333333"/>
          <w:sz w:val="22"/>
          <w:szCs w:val="22"/>
        </w:rPr>
        <w:t xml:space="preserve">Cybersecurity evaluates a vendor’s digital defenses, shifting from static questionnaires to real-time telemetry analysis. Teams assess encryption, identity management, and "Nth-party" risks—identifying vulnerabilities introduced by a vendor’s own subcontractors.</w:t>
      </w:r>
    </w:p>
    <w:p>
      <w:pPr>
        <w:pStyle w:val="Heading3"/>
        <w:spacing w:after="120" w:before="240"/>
      </w:pPr>
      <w:r>
        <w:rPr>
          <w:rFonts w:ascii="Arial" w:cs="Arial" w:eastAsia="Arial" w:hAnsi="Arial"/>
          <w:b/>
          <w:bCs/>
          <w:color w:val="333333"/>
          <w:sz w:val="24"/>
          <w:szCs w:val="24"/>
        </w:rPr>
        <w:t xml:space="preserve">3.1.3 The Role of AI Governance: Managing Algorithmic Risk</w:t>
      </w:r>
    </w:p>
    <w:p>
      <w:pPr>
        <w:spacing w:after="120"/>
        <w:jc w:val="left"/>
      </w:pPr>
      <w:r>
        <w:rPr>
          <w:rFonts w:ascii="Arial" w:cs="Arial" w:eastAsia="Arial" w:hAnsi="Arial"/>
          <w:b w:val="false"/>
          <w:bCs w:val="false"/>
          <w:i w:val="false"/>
          <w:iCs w:val="false"/>
          <w:color w:val="333333"/>
          <w:sz w:val="22"/>
          <w:szCs w:val="22"/>
        </w:rPr>
        <w:t xml:space="preserve">AI Governance ensures AI-driven services are transparent and free from bias. This function operationalizes frameworks like the Financial Services AI Risk Management Framework (FS AI RMF), mapping 230 control objectives to ensure models are robust and privacy-enhanced.</w:t>
      </w:r>
    </w:p>
    <w:p>
      <w:pPr>
        <w:pStyle w:val="Heading3"/>
        <w:spacing w:after="120" w:before="240"/>
      </w:pPr>
      <w:r>
        <w:rPr>
          <w:rFonts w:ascii="Arial" w:cs="Arial" w:eastAsia="Arial" w:hAnsi="Arial"/>
          <w:b/>
          <w:bCs/>
          <w:color w:val="333333"/>
          <w:sz w:val="24"/>
          <w:szCs w:val="24"/>
        </w:rPr>
        <w:t xml:space="preserve">3.1.4 The Role of Regulatory, Compliance, and Audit</w:t>
      </w:r>
    </w:p>
    <w:p>
      <w:pPr>
        <w:spacing w:after="120"/>
        <w:jc w:val="left"/>
      </w:pPr>
      <w:r>
        <w:rPr>
          <w:rFonts w:ascii="Arial" w:cs="Arial" w:eastAsia="Arial" w:hAnsi="Arial"/>
          <w:b w:val="false"/>
          <w:bCs w:val="false"/>
          <w:i w:val="false"/>
          <w:iCs w:val="false"/>
          <w:color w:val="333333"/>
          <w:sz w:val="22"/>
          <w:szCs w:val="22"/>
        </w:rPr>
        <w:t xml:space="preserve">Compliance acts as the liaison to bodies like the OCC, Fed, and FDIC. They ensure alignment with the 2023 Interagency Guidance on Third-Party Relationships. Internal Audit provides independent verification of the program’s efficacy.</w:t>
      </w:r>
    </w:p>
    <w:p>
      <w:pPr>
        <w:pStyle w:val="Heading3"/>
        <w:spacing w:after="120" w:before="240"/>
      </w:pPr>
      <w:r>
        <w:rPr>
          <w:rFonts w:ascii="Arial" w:cs="Arial" w:eastAsia="Arial" w:hAnsi="Arial"/>
          <w:b/>
          <w:bCs/>
          <w:color w:val="333333"/>
          <w:sz w:val="24"/>
          <w:szCs w:val="24"/>
        </w:rPr>
        <w:t xml:space="preserve">3.1.5 TPRM Governance RACI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520"/>
        <w:gridCol w:w="1680"/>
        <w:gridCol w:w="1680"/>
      </w:tblGrid>
      <w:tr>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Responsibility</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Deliverables</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Stakeholder Coordination</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BPMN Lane</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Legal</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Contractual liability and regulatory alignment</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MSA, DPA, Right to Audit clauses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Procurement, Compliance, Board</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Contracting Lane</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Cybersecurity</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Technical security and data integrity</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Penetration tests, SOC 2 reviews, CSM</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Business Owners, Vendors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Technical Assessment Lane</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AI Governance</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Model ethics, transparency, and bias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Model cards, bias testing reports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Legal, Data Science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Review Lane</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Compliance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Adherence to banking regulations</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Regulatory filings, policy updates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OCC/Fed/FDIC, Audit</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Lane</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Audit</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Independent verification of the program</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Audit reports, remediation tracking</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Board of Directors, C-Suite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Oversight Lane</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Service Provider</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Orchestration of automated testing</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Agent swarm audit trails, BPM workflows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Client Risk Teams, Vendors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Automation Lane</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3.2 Reimagining the Workflow: Managed Agentic TPRM (TPRMaaS)</w:t>
      </w:r>
    </w:p>
    <w:p>
      <w:pPr>
        <w:spacing w:after="120"/>
        <w:jc w:val="left"/>
      </w:pPr>
      <w:r>
        <w:rPr>
          <w:rFonts w:ascii="Arial" w:cs="Arial" w:eastAsia="Arial" w:hAnsi="Arial"/>
          <w:b w:val="false"/>
          <w:bCs w:val="false"/>
          <w:i w:val="false"/>
          <w:iCs w:val="false"/>
          <w:color w:val="333333"/>
          <w:sz w:val="22"/>
          <w:szCs w:val="22"/>
        </w:rPr>
        <w:t xml:space="preserve">The future of TPRM lies in a "Managed Agentic" model where Business Process Management (BPM) provides the structural rigidity and AI Agent Swarms provide the cognitive velocity. In this service model, clients provide their internal policies and compliance standards, which are then used to program an autonomous workforce to test vendor evidence in real-time.</w:t>
      </w:r>
    </w:p>
    <w:p>
      <w:pPr>
        <w:pStyle w:val="Heading3"/>
        <w:spacing w:after="120" w:before="240"/>
      </w:pPr>
      <w:r>
        <w:rPr>
          <w:rFonts w:ascii="Arial" w:cs="Arial" w:eastAsia="Arial" w:hAnsi="Arial"/>
          <w:b/>
          <w:bCs/>
          <w:color w:val="333333"/>
          <w:sz w:val="24"/>
          <w:szCs w:val="24"/>
        </w:rPr>
        <w:t xml:space="preserve">3.2.1 Step 1: Policy Ingestion and Regulatory Mapping</w:t>
      </w:r>
    </w:p>
    <w:p>
      <w:pPr>
        <w:spacing w:after="120"/>
        <w:jc w:val="left"/>
      </w:pPr>
      <w:r>
        <w:rPr>
          <w:rFonts w:ascii="Arial" w:cs="Arial" w:eastAsia="Arial" w:hAnsi="Arial"/>
          <w:b w:val="false"/>
          <w:bCs w:val="false"/>
          <w:i w:val="false"/>
          <w:iCs w:val="false"/>
          <w:color w:val="333333"/>
          <w:sz w:val="22"/>
          <w:szCs w:val="22"/>
        </w:rPr>
        <w:t xml:space="preserve">The process begins by converting a client’s textual policies (e.g., "All passwords must be 16 characters") into machine-readable logic. These internal standards are then mapped to regulatory frameworks like DORA, NIST CSF 2.0, or SEC Rule 17a-4 to ensure that every internal check supports a broader legal obligation.</w:t>
      </w:r>
    </w:p>
    <w:p>
      <w:pPr>
        <w:pStyle w:val="Heading3"/>
        <w:spacing w:after="120" w:before="240"/>
      </w:pPr>
      <w:r>
        <w:rPr>
          <w:rFonts w:ascii="Arial" w:cs="Arial" w:eastAsia="Arial" w:hAnsi="Arial"/>
          <w:b/>
          <w:bCs/>
          <w:color w:val="333333"/>
          <w:sz w:val="24"/>
          <w:szCs w:val="24"/>
        </w:rPr>
        <w:t xml:space="preserve">3.2.2 Step 2: BPM-Tightened Intake</w:t>
      </w:r>
    </w:p>
    <w:p>
      <w:pPr>
        <w:spacing w:after="120"/>
        <w:jc w:val="left"/>
      </w:pPr>
      <w:r>
        <w:rPr>
          <w:rFonts w:ascii="Arial" w:cs="Arial" w:eastAsia="Arial" w:hAnsi="Arial"/>
          <w:b w:val="false"/>
          <w:bCs w:val="false"/>
          <w:i w:val="false"/>
          <w:iCs w:val="false"/>
          <w:color w:val="333333"/>
          <w:sz w:val="22"/>
          <w:szCs w:val="22"/>
        </w:rPr>
        <w:t xml:space="preserve">Using BPM tools, the workflow is tightened to eliminate manual handoffs. When a vendor provides information via a Trust Center or self-service portal, the BPM system triggers a series of automated checkpoints. This ensures that no vendor progresses to the next stage until the required data integrity is verified by the system.</w:t>
      </w:r>
    </w:p>
    <w:p>
      <w:pPr>
        <w:pStyle w:val="Heading3"/>
        <w:spacing w:after="120" w:before="240"/>
      </w:pPr>
      <w:r>
        <w:rPr>
          <w:rFonts w:ascii="Arial" w:cs="Arial" w:eastAsia="Arial" w:hAnsi="Arial"/>
          <w:b/>
          <w:bCs/>
          <w:color w:val="333333"/>
          <w:sz w:val="24"/>
          <w:szCs w:val="24"/>
        </w:rPr>
        <w:t xml:space="preserve">3.2.3 Step 3: Deployment of AI Agent Swarms</w:t>
      </w:r>
    </w:p>
    <w:p>
      <w:pPr>
        <w:spacing w:after="120"/>
        <w:jc w:val="left"/>
      </w:pPr>
      <w:r>
        <w:rPr>
          <w:rFonts w:ascii="Arial" w:cs="Arial" w:eastAsia="Arial" w:hAnsi="Arial"/>
          <w:b w:val="false"/>
          <w:bCs w:val="false"/>
          <w:i w:val="false"/>
          <w:iCs w:val="false"/>
          <w:color w:val="333333"/>
          <w:sz w:val="22"/>
          <w:szCs w:val="22"/>
        </w:rPr>
        <w:t xml:space="preserve">Instead of a single bot, a swarm of specialized agents is deployed to perform a deep-dive compliance test:</w:t>
      </w:r>
    </w:p>
    <w:p>
      <w:pPr>
        <w:spacing w:after="120"/>
      </w:pPr>
      <w:r>
        <w:rPr>
          <w:rFonts w:ascii="Arial" w:cs="Arial" w:eastAsia="Arial" w:hAnsi="Arial"/>
          <w:b/>
          <w:bCs/>
          <w:color w:val="333333"/>
          <w:sz w:val="22"/>
          <w:szCs w:val="22"/>
        </w:rPr>
        <w:t xml:space="preserve">The Investigator Agent: </w:t>
      </w:r>
      <w:r>
        <w:rPr>
          <w:rFonts w:ascii="Arial" w:cs="Arial" w:eastAsia="Arial" w:hAnsi="Arial"/>
          <w:color w:val="333333"/>
          <w:sz w:val="22"/>
          <w:szCs w:val="22"/>
        </w:rPr>
        <w:t xml:space="preserve">Independently parses the vendor’s SOC 2 reports, penetration tests, and financial statements to find evidence for each policy requirement.</w:t>
      </w:r>
    </w:p>
    <w:p>
      <w:pPr>
        <w:spacing w:after="120"/>
      </w:pPr>
      <w:r>
        <w:rPr>
          <w:rFonts w:ascii="Arial" w:cs="Arial" w:eastAsia="Arial" w:hAnsi="Arial"/>
          <w:b/>
          <w:bCs/>
          <w:color w:val="333333"/>
          <w:sz w:val="22"/>
          <w:szCs w:val="22"/>
        </w:rPr>
        <w:t xml:space="preserve">The Compliance Agent: </w:t>
      </w:r>
      <w:r>
        <w:rPr>
          <w:rFonts w:ascii="Arial" w:cs="Arial" w:eastAsia="Arial" w:hAnsi="Arial"/>
          <w:color w:val="333333"/>
          <w:sz w:val="22"/>
          <w:szCs w:val="22"/>
        </w:rPr>
        <w:t xml:space="preserve">Cross-references the findings against the client’s specific standards and regulatory benchmarks.</w:t>
      </w:r>
    </w:p>
    <w:p>
      <w:pPr>
        <w:spacing w:after="120"/>
      </w:pPr>
      <w:r>
        <w:rPr>
          <w:rFonts w:ascii="Arial" w:cs="Arial" w:eastAsia="Arial" w:hAnsi="Arial"/>
          <w:b/>
          <w:bCs/>
          <w:color w:val="333333"/>
          <w:sz w:val="22"/>
          <w:szCs w:val="22"/>
        </w:rPr>
        <w:t xml:space="preserve">The Checker Agent: </w:t>
      </w:r>
      <w:r>
        <w:rPr>
          <w:rFonts w:ascii="Arial" w:cs="Arial" w:eastAsia="Arial" w:hAnsi="Arial"/>
          <w:color w:val="333333"/>
          <w:sz w:val="22"/>
          <w:szCs w:val="22"/>
        </w:rPr>
        <w:t xml:space="preserve">Validates the reasoning of the Investigator. If both agents agree on a finding, it is logged; if they disagree, it is escalated for human review with full context.</w:t>
      </w:r>
    </w:p>
    <w:p>
      <w:pPr>
        <w:pStyle w:val="Heading3"/>
        <w:spacing w:after="120" w:before="240"/>
      </w:pPr>
      <w:r>
        <w:rPr>
          <w:rFonts w:ascii="Arial" w:cs="Arial" w:eastAsia="Arial" w:hAnsi="Arial"/>
          <w:b/>
          <w:bCs/>
          <w:color w:val="333333"/>
          <w:sz w:val="24"/>
          <w:szCs w:val="24"/>
        </w:rPr>
        <w:t xml:space="preserve">3.2.4 Step 4: Outcome Logging and Auditability</w:t>
      </w:r>
    </w:p>
    <w:p>
      <w:pPr>
        <w:spacing w:after="120"/>
        <w:jc w:val="left"/>
      </w:pPr>
      <w:r>
        <w:rPr>
          <w:rFonts w:ascii="Arial" w:cs="Arial" w:eastAsia="Arial" w:hAnsi="Arial"/>
          <w:b w:val="false"/>
          <w:bCs w:val="false"/>
          <w:i w:val="false"/>
          <w:iCs w:val="false"/>
          <w:color w:val="333333"/>
          <w:sz w:val="22"/>
          <w:szCs w:val="22"/>
        </w:rPr>
        <w:t xml:space="preserve">Every decision made by the swarm is recorded in a tamper-proof audit trail. This allows the client to demonstrate to regulatory authorities exactly why a vendor was approved, showing the direct lineage from internal policy to agent test to final evidence.</w:t>
      </w:r>
    </w:p>
    <w:p>
      <w:pPr>
        <w:pStyle w:val="Heading2"/>
        <w:spacing w:after="120" w:before="240"/>
      </w:pPr>
      <w:r>
        <w:rPr>
          <w:rFonts w:ascii="Arial" w:cs="Arial" w:eastAsia="Arial" w:hAnsi="Arial"/>
          <w:b/>
          <w:bCs/>
          <w:color w:val="0066CC"/>
          <w:sz w:val="28"/>
          <w:szCs w:val="28"/>
        </w:rPr>
        <w:t xml:space="preserve">3.3 The End-to-End TPRM Lifecycle: Detailed Phases</w:t>
      </w:r>
    </w:p>
    <w:p>
      <w:pPr>
        <w:pStyle w:val="Heading3"/>
        <w:spacing w:after="120" w:before="240"/>
      </w:pPr>
      <w:r>
        <w:rPr>
          <w:rFonts w:ascii="Arial" w:cs="Arial" w:eastAsia="Arial" w:hAnsi="Arial"/>
          <w:b/>
          <w:bCs/>
          <w:color w:val="333333"/>
          <w:sz w:val="24"/>
          <w:szCs w:val="24"/>
        </w:rPr>
        <w:t xml:space="preserve">3.3.1 Phase 1: Planning and Inherent Risk Scoping</w:t>
      </w:r>
    </w:p>
    <w:p>
      <w:pPr>
        <w:spacing w:after="120"/>
        <w:jc w:val="left"/>
      </w:pPr>
      <w:r>
        <w:rPr>
          <w:rFonts w:ascii="Arial" w:cs="Arial" w:eastAsia="Arial" w:hAnsi="Arial"/>
          <w:b w:val="false"/>
          <w:bCs w:val="false"/>
          <w:i w:val="false"/>
          <w:iCs w:val="false"/>
          <w:color w:val="333333"/>
          <w:sz w:val="22"/>
          <w:szCs w:val="22"/>
        </w:rPr>
        <w:t xml:space="preserve">Before engagement, the institution evaluates if the activity is "critical"—where failure disrupts operations. Intake forms capture vendor identity and data types to calculate "Inherent Risk" before controls are applied.</w:t>
      </w:r>
    </w:p>
    <w:p>
      <w:pPr>
        <w:pStyle w:val="Heading3"/>
        <w:spacing w:after="120" w:before="240"/>
      </w:pPr>
      <w:r>
        <w:rPr>
          <w:rFonts w:ascii="Arial" w:cs="Arial" w:eastAsia="Arial" w:hAnsi="Arial"/>
          <w:b/>
          <w:bCs/>
          <w:color w:val="333333"/>
          <w:sz w:val="24"/>
          <w:szCs w:val="24"/>
        </w:rPr>
        <w:t xml:space="preserve">3.3.2 Phase 2: Due Diligence and Swarm Evaluation</w:t>
      </w:r>
    </w:p>
    <w:p>
      <w:pPr>
        <w:spacing w:after="120"/>
        <w:jc w:val="left"/>
      </w:pPr>
      <w:r>
        <w:rPr>
          <w:rFonts w:ascii="Arial" w:cs="Arial" w:eastAsia="Arial" w:hAnsi="Arial"/>
          <w:b w:val="false"/>
          <w:bCs w:val="false"/>
          <w:i w:val="false"/>
          <w:iCs w:val="false"/>
          <w:color w:val="333333"/>
          <w:sz w:val="22"/>
          <w:szCs w:val="22"/>
        </w:rPr>
        <w:t xml:space="preserve">Due diligence in financial services is a systematic inquiry into financial and technical health. Agent swarms accelerate this by reducing processing time for 100-page SOC 2 reports from 35 minutes to under 2 minutes. Evaluation focuses on:</w:t>
      </w:r>
    </w:p>
    <w:p>
      <w:pPr>
        <w:spacing w:after="120"/>
      </w:pPr>
      <w:r>
        <w:rPr>
          <w:rFonts w:ascii="Arial" w:cs="Arial" w:eastAsia="Arial" w:hAnsi="Arial"/>
          <w:b/>
          <w:bCs/>
          <w:color w:val="333333"/>
          <w:sz w:val="22"/>
          <w:szCs w:val="22"/>
        </w:rPr>
        <w:t xml:space="preserve">Cybersecurity Posture: </w:t>
      </w:r>
      <w:r>
        <w:rPr>
          <w:rFonts w:ascii="Arial" w:cs="Arial" w:eastAsia="Arial" w:hAnsi="Arial"/>
          <w:color w:val="333333"/>
          <w:sz w:val="22"/>
          <w:szCs w:val="22"/>
        </w:rPr>
        <w:t xml:space="preserve">Patch management and vulnerability programs.</w:t>
      </w:r>
    </w:p>
    <w:p>
      <w:pPr>
        <w:spacing w:after="120"/>
      </w:pPr>
      <w:r>
        <w:rPr>
          <w:rFonts w:ascii="Arial" w:cs="Arial" w:eastAsia="Arial" w:hAnsi="Arial"/>
          <w:b/>
          <w:bCs/>
          <w:color w:val="333333"/>
          <w:sz w:val="22"/>
          <w:szCs w:val="22"/>
        </w:rPr>
        <w:t xml:space="preserve">Operational Resilience: </w:t>
      </w:r>
      <w:r>
        <w:rPr>
          <w:rFonts w:ascii="Arial" w:cs="Arial" w:eastAsia="Arial" w:hAnsi="Arial"/>
          <w:color w:val="333333"/>
          <w:sz w:val="22"/>
          <w:szCs w:val="22"/>
        </w:rPr>
        <w:t xml:space="preserve">Verification of RTO and RPO metrics via BCDR testing evidence.</w:t>
      </w:r>
    </w:p>
    <w:p>
      <w:pPr>
        <w:spacing w:after="120"/>
      </w:pPr>
      <w:r>
        <w:rPr>
          <w:rFonts w:ascii="Arial" w:cs="Arial" w:eastAsia="Arial" w:hAnsi="Arial"/>
          <w:b/>
          <w:bCs/>
          <w:color w:val="333333"/>
          <w:sz w:val="22"/>
          <w:szCs w:val="22"/>
        </w:rPr>
        <w:t xml:space="preserve">Financial Stability: </w:t>
      </w:r>
      <w:r>
        <w:rPr>
          <w:rFonts w:ascii="Arial" w:cs="Arial" w:eastAsia="Arial" w:hAnsi="Arial"/>
          <w:color w:val="333333"/>
          <w:sz w:val="22"/>
          <w:szCs w:val="22"/>
        </w:rPr>
        <w:t xml:space="preserve">Review of audited statements and liquidity ratios.</w:t>
      </w:r>
    </w:p>
    <w:p>
      <w:pPr>
        <w:pStyle w:val="Heading3"/>
        <w:spacing w:after="120" w:before="240"/>
      </w:pPr>
      <w:r>
        <w:rPr>
          <w:rFonts w:ascii="Arial" w:cs="Arial" w:eastAsia="Arial" w:hAnsi="Arial"/>
          <w:b/>
          <w:bCs/>
          <w:color w:val="333333"/>
          <w:sz w:val="24"/>
          <w:szCs w:val="24"/>
        </w:rPr>
        <w:t xml:space="preserve">3.3.3 Phase 3: Contracting and Issue Resolution</w:t>
      </w:r>
    </w:p>
    <w:p>
      <w:pPr>
        <w:spacing w:after="120"/>
        <w:jc w:val="left"/>
      </w:pPr>
      <w:r>
        <w:rPr>
          <w:rFonts w:ascii="Arial" w:cs="Arial" w:eastAsia="Arial" w:hAnsi="Arial"/>
          <w:b w:val="false"/>
          <w:bCs w:val="false"/>
          <w:i w:val="false"/>
          <w:iCs w:val="false"/>
          <w:color w:val="333333"/>
          <w:sz w:val="22"/>
          <w:szCs w:val="22"/>
        </w:rPr>
        <w:t xml:space="preserve">Contracts mandate breach notification timelines and include "Remediation Schedules." If the agent swarm identifies a gap (e.g., lack of MFA), the BPM system automatically assigns a remediation task to the vendor and tracks closure evidence.</w:t>
      </w:r>
    </w:p>
    <w:p>
      <w:pPr>
        <w:pStyle w:val="Heading3"/>
        <w:spacing w:after="120" w:before="240"/>
      </w:pPr>
      <w:r>
        <w:rPr>
          <w:rFonts w:ascii="Arial" w:cs="Arial" w:eastAsia="Arial" w:hAnsi="Arial"/>
          <w:b/>
          <w:bCs/>
          <w:color w:val="333333"/>
          <w:sz w:val="24"/>
          <w:szCs w:val="24"/>
        </w:rPr>
        <w:t xml:space="preserve">3.3.4 Phase 4: Continuous Monitoring and Surveillance</w:t>
      </w:r>
    </w:p>
    <w:p>
      <w:pPr>
        <w:spacing w:after="120"/>
        <w:jc w:val="left"/>
      </w:pPr>
      <w:r>
        <w:rPr>
          <w:rFonts w:ascii="Arial" w:cs="Arial" w:eastAsia="Arial" w:hAnsi="Arial"/>
          <w:b w:val="false"/>
          <w:bCs w:val="false"/>
          <w:i w:val="false"/>
          <w:iCs w:val="false"/>
          <w:color w:val="333333"/>
          <w:sz w:val="22"/>
          <w:szCs w:val="22"/>
        </w:rPr>
        <w:t xml:space="preserve">Mature programs use automated platforms to track real-time security ratings (e.g., BitSight, SecurityScorecard), adverse media, and SLA performance.</w:t>
      </w:r>
    </w:p>
    <w:p>
      <w:pPr>
        <w:pStyle w:val="Heading2"/>
        <w:spacing w:after="120" w:before="240"/>
      </w:pPr>
      <w:r>
        <w:rPr>
          <w:rFonts w:ascii="Arial" w:cs="Arial" w:eastAsia="Arial" w:hAnsi="Arial"/>
          <w:b/>
          <w:bCs/>
          <w:color w:val="0066CC"/>
          <w:sz w:val="28"/>
          <w:szCs w:val="28"/>
        </w:rPr>
        <w:t xml:space="preserve">3.4 Industry Standards and Best Practice Tools</w:t>
      </w:r>
    </w:p>
    <w:p>
      <w:pPr>
        <w:spacing w:after="120"/>
        <w:jc w:val="left"/>
      </w:pPr>
      <w:r>
        <w:rPr>
          <w:rFonts w:ascii="Arial" w:cs="Arial" w:eastAsia="Arial" w:hAnsi="Arial"/>
          <w:b w:val="false"/>
          <w:bCs w:val="false"/>
          <w:i w:val="false"/>
          <w:iCs w:val="false"/>
          <w:color w:val="333333"/>
          <w:sz w:val="22"/>
          <w:szCs w:val="22"/>
        </w:rPr>
        <w:t xml:space="preserve">Organizations rely on universal standards to normalize risk evaluations:</w:t>
      </w:r>
    </w:p>
    <w:p>
      <w:pPr>
        <w:spacing w:after="120"/>
      </w:pPr>
      <w:r>
        <w:rPr>
          <w:rFonts w:ascii="Arial" w:cs="Arial" w:eastAsia="Arial" w:hAnsi="Arial"/>
          <w:b/>
          <w:bCs/>
          <w:color w:val="333333"/>
          <w:sz w:val="22"/>
          <w:szCs w:val="22"/>
        </w:rPr>
        <w:t xml:space="preserve">NIST CSF v2.0 and ISO 27001: </w:t>
      </w:r>
      <w:r>
        <w:rPr>
          <w:rFonts w:ascii="Arial" w:cs="Arial" w:eastAsia="Arial" w:hAnsi="Arial"/>
          <w:color w:val="333333"/>
          <w:sz w:val="22"/>
          <w:szCs w:val="22"/>
        </w:rPr>
        <w:t xml:space="preserve">The global pillars for security management.</w:t>
      </w:r>
    </w:p>
    <w:p>
      <w:pPr>
        <w:spacing w:after="120"/>
      </w:pPr>
      <w:r>
        <w:rPr>
          <w:rFonts w:ascii="Arial" w:cs="Arial" w:eastAsia="Arial" w:hAnsi="Arial"/>
          <w:b/>
          <w:bCs/>
          <w:color w:val="333333"/>
          <w:sz w:val="22"/>
          <w:szCs w:val="22"/>
        </w:rPr>
        <w:t xml:space="preserve">DORA (Digital Operational Resilience Act): </w:t>
      </w:r>
      <w:r>
        <w:rPr>
          <w:rFonts w:ascii="Arial" w:cs="Arial" w:eastAsia="Arial" w:hAnsi="Arial"/>
          <w:color w:val="333333"/>
          <w:sz w:val="22"/>
          <w:szCs w:val="22"/>
        </w:rPr>
        <w:t xml:space="preserve">Mandates strict IT risk management and testing for EU financial operations.</w:t>
      </w:r>
    </w:p>
    <w:p>
      <w:pPr>
        <w:spacing w:after="120"/>
      </w:pPr>
      <w:r>
        <w:rPr>
          <w:rFonts w:ascii="Arial" w:cs="Arial" w:eastAsia="Arial" w:hAnsi="Arial"/>
          <w:b/>
          <w:bCs/>
          <w:color w:val="333333"/>
          <w:sz w:val="22"/>
          <w:szCs w:val="22"/>
        </w:rPr>
        <w:t xml:space="preserve">SEC Rule 17a-4: </w:t>
      </w:r>
      <w:r>
        <w:rPr>
          <w:rFonts w:ascii="Arial" w:cs="Arial" w:eastAsia="Arial" w:hAnsi="Arial"/>
          <w:color w:val="333333"/>
          <w:sz w:val="22"/>
          <w:szCs w:val="22"/>
        </w:rPr>
        <w:t xml:space="preserve">Requires immutable recordkeeping and third-party undertakings for broker-dealers.</w:t>
      </w:r>
    </w:p>
    <w:p>
      <w:pPr>
        <w:pStyle w:val="Heading3"/>
        <w:spacing w:after="120" w:before="240"/>
      </w:pPr>
      <w:r>
        <w:rPr>
          <w:rFonts w:ascii="Arial" w:cs="Arial" w:eastAsia="Arial" w:hAnsi="Arial"/>
          <w:b/>
          <w:bCs/>
          <w:color w:val="333333"/>
          <w:sz w:val="24"/>
          <w:szCs w:val="24"/>
        </w:rPr>
        <w:t xml:space="preserve">3.4.1 Strategic Tools for Acceleration</w:t>
      </w:r>
    </w:p>
    <w:p>
      <w:pPr>
        <w:spacing w:after="120"/>
      </w:pPr>
      <w:r>
        <w:rPr>
          <w:rFonts w:ascii="Arial" w:cs="Arial" w:eastAsia="Arial" w:hAnsi="Arial"/>
          <w:b/>
          <w:bCs/>
          <w:color w:val="333333"/>
          <w:sz w:val="22"/>
          <w:szCs w:val="22"/>
        </w:rPr>
        <w:t xml:space="preserve">Trust Centers (Vanta, TrustCloud): </w:t>
      </w:r>
      <w:r>
        <w:rPr>
          <w:rFonts w:ascii="Arial" w:cs="Arial" w:eastAsia="Arial" w:hAnsi="Arial"/>
          <w:color w:val="333333"/>
          <w:sz w:val="22"/>
          <w:szCs w:val="22"/>
        </w:rPr>
        <w:t xml:space="preserve">Portals where vendors proactively share evidence.</w:t>
      </w:r>
    </w:p>
    <w:p>
      <w:pPr>
        <w:spacing w:after="120"/>
      </w:pPr>
      <w:r>
        <w:rPr>
          <w:rFonts w:ascii="Arial" w:cs="Arial" w:eastAsia="Arial" w:hAnsi="Arial"/>
          <w:b/>
          <w:bCs/>
          <w:color w:val="333333"/>
          <w:sz w:val="22"/>
          <w:szCs w:val="22"/>
        </w:rPr>
        <w:t xml:space="preserve">AI Auditors (FortifyData): </w:t>
      </w:r>
      <w:r>
        <w:rPr>
          <w:rFonts w:ascii="Arial" w:cs="Arial" w:eastAsia="Arial" w:hAnsi="Arial"/>
          <w:color w:val="333333"/>
          <w:sz w:val="22"/>
          <w:szCs w:val="22"/>
        </w:rPr>
        <w:t xml:space="preserve">Tools that perform framework-based audits on uploaded reports automatically.</w:t>
      </w:r>
    </w:p>
    <w:p>
      <w:pPr>
        <w:spacing w:after="120"/>
      </w:pPr>
      <w:r>
        <w:rPr>
          <w:rFonts w:ascii="Arial" w:cs="Arial" w:eastAsia="Arial" w:hAnsi="Arial"/>
          <w:b/>
          <w:bCs/>
          <w:color w:val="333333"/>
          <w:sz w:val="22"/>
          <w:szCs w:val="22"/>
        </w:rPr>
        <w:t xml:space="preserve">Risk Exchanges (ProcessUnity): </w:t>
      </w:r>
      <w:r>
        <w:rPr>
          <w:rFonts w:ascii="Arial" w:cs="Arial" w:eastAsia="Arial" w:hAnsi="Arial"/>
          <w:color w:val="333333"/>
          <w:sz w:val="22"/>
          <w:szCs w:val="22"/>
        </w:rPr>
        <w:t xml:space="preserve">Networks that provide pre-completed vendor assessments to bypass the questionnaire cycle.</w:t>
      </w:r>
    </w:p>
    <w:p>
      <w:pPr>
        <w:spacing w:after="120"/>
        <w:jc w:val="left"/>
      </w:pPr>
      <w:r>
        <w:rPr>
          <w:rFonts w:ascii="Arial" w:cs="Arial" w:eastAsia="Arial" w:hAnsi="Arial"/>
          <w:b w:val="false"/>
          <w:bCs w:val="false"/>
          <w:i w:val="false"/>
          <w:iCs w:val="false"/>
          <w:color w:val="333333"/>
          <w:sz w:val="22"/>
          <w:szCs w:val="22"/>
        </w:rPr>
        <w:t xml:space="preserve">By wrapping these tools in a BPM-driven service model and utilizing agent swarms, organizations can reduce onboarding cycles by up to 80% while maintaining absolute regulatory alignment.</w:t>
      </w:r>
    </w:p>
    <w:p>
      <w:r>
        <w:br w:type="page"/>
      </w:r>
    </w:p>
    <w:p>
      <w:pPr>
        <w:pStyle w:val="Heading1"/>
        <w:spacing w:after="120" w:before="360"/>
      </w:pPr>
      <w:r>
        <w:rPr>
          <w:rFonts w:ascii="Arial" w:cs="Arial" w:eastAsia="Arial" w:hAnsi="Arial"/>
          <w:b/>
          <w:bCs/>
          <w:color w:val="003366"/>
          <w:sz w:val="32"/>
          <w:szCs w:val="32"/>
        </w:rPr>
        <w:t xml:space="preserve">4. Integrated End-to-End Lifecycle with Best-Practice Cycle Times</w:t>
      </w:r>
    </w:p>
    <w:p>
      <w:pPr>
        <w:spacing w:after="120"/>
        <w:jc w:val="left"/>
      </w:pPr>
      <w:r>
        <w:rPr>
          <w:rFonts w:ascii="Arial" w:cs="Arial" w:eastAsia="Arial" w:hAnsi="Arial"/>
          <w:b w:val="false"/>
          <w:bCs w:val="false"/>
          <w:i w:val="false"/>
          <w:iCs w:val="false"/>
          <w:color w:val="333333"/>
          <w:sz w:val="22"/>
          <w:szCs w:val="22"/>
        </w:rPr>
        <w:t xml:space="preserve">This section establishes benchmark cycle times for the complete integrated lifecycle. These targets reflect realistic best-practice expectations assuming a streamlined, well-governed process with automation applied where identified. The lifecycle integrates the AI Governance BPMN workflow with the TPRM framework into a unified 8-phase model.</w:t>
      </w:r>
    </w:p>
    <w:p>
      <w:pPr>
        <w:pStyle w:val="Heading2"/>
        <w:spacing w:after="120" w:before="240"/>
      </w:pPr>
      <w:r>
        <w:rPr>
          <w:rFonts w:ascii="Arial" w:cs="Arial" w:eastAsia="Arial" w:hAnsi="Arial"/>
          <w:b/>
          <w:bCs/>
          <w:color w:val="0066CC"/>
          <w:sz w:val="28"/>
          <w:szCs w:val="28"/>
        </w:rPr>
        <w:t xml:space="preserve">4.1 Overall Lifecycle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1260"/>
        <w:gridCol w:w="1260"/>
        <w:gridCol w:w="1260"/>
        <w:gridCol w:w="1260"/>
        <w:gridCol w:w="1680"/>
      </w:tblGrid>
      <w:tr>
        <w:tc>
          <w:tcPr>
            <w:tcW w:type="dxa" w:w="84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Std Risk</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High Risk</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Minimal Risk</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 %</w:t>
            </w:r>
          </w:p>
        </w:tc>
      </w:tr>
      <w:tr>
        <w:tc>
          <w:tcPr>
            <w:tcW w:type="dxa" w:w="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Initiation and Intake</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75%</w:t>
            </w:r>
          </w:p>
        </w:tc>
      </w:tr>
      <w:tr>
        <w:tc>
          <w:tcPr>
            <w:tcW w:type="dxa" w:w="84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Planning and Inherent Risk Scoping</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5–7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60%</w:t>
            </w:r>
          </w:p>
        </w:tc>
      </w:tr>
      <w:tr>
        <w:tc>
          <w:tcPr>
            <w:tcW w:type="dxa" w:w="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Due Diligence and Swarm Evaluation</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5–8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10–15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70%</w:t>
            </w:r>
          </w:p>
        </w:tc>
      </w:tr>
      <w:tr>
        <w:tc>
          <w:tcPr>
            <w:tcW w:type="dxa" w:w="84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Governance Review and Approval</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5–10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40%</w:t>
            </w:r>
          </w:p>
        </w:tc>
      </w:tr>
      <w:tr>
        <w:tc>
          <w:tcPr>
            <w:tcW w:type="dxa" w:w="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Contracting and Controls Implementation</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5–7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7–10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50%</w:t>
            </w:r>
          </w:p>
        </w:tc>
      </w:tr>
      <w:tr>
        <w:tc>
          <w:tcPr>
            <w:tcW w:type="dxa" w:w="84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SDLC Development and Testing</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10–15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15–25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5–10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55%</w:t>
            </w:r>
          </w:p>
        </w:tc>
      </w:tr>
      <w:tr>
        <w:tc>
          <w:tcPr>
            <w:tcW w:type="dxa" w:w="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Deployment Decision and Go-Live</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60%</w:t>
            </w:r>
          </w:p>
        </w:tc>
      </w:tr>
      <w:tr>
        <w:tc>
          <w:tcPr>
            <w:tcW w:type="dxa" w:w="84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Production Operations, Monitoring &amp; Retirement</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65%</w:t>
            </w:r>
          </w:p>
        </w:tc>
      </w:tr>
      <w:tr>
        <w:tc>
          <w:tcPr>
            <w:tcW w:type="dxa" w:w="84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 END-TO-END (Phases 1–7)</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29–45 days</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46–74 days</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13.5–23 days</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42</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~60% avg</w:t>
            </w:r>
          </w:p>
        </w:tc>
      </w:tr>
    </w:tbl>
    <w:p>
      <w:pPr>
        <w:spacing w:after="120"/>
        <w:jc w:val="left"/>
      </w:pPr>
      <w:r>
        <w:rPr>
          <w:rFonts w:ascii="Arial" w:cs="Arial" w:eastAsia="Arial" w:hAnsi="Arial"/>
          <w:b w:val="false"/>
          <w:bCs w:val="false"/>
          <w:i w:val="false"/>
          <w:iCs w:val="false"/>
          <w:color w:val="333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3366" w:sz="6"/>
              <w:left w:val="single" w:color="BBBBBB" w:sz="1"/>
              <w:bottom w:val="single" w:color="BBBBBB" w:sz="1"/>
              <w:right w:val="single" w:color="BBBBBB" w:sz="1"/>
            </w:tcBorders>
            <w:shd w:fill="EAF2EA" w:val="clear"/>
            <w:tcMar>
              <w:top w:type="dxa" w:w="100"/>
              <w:left w:type="dxa" w:w="160"/>
              <w:bottom w:type="dxa" w:w="100"/>
              <w:right w:type="dxa" w:w="160"/>
            </w:tcMar>
          </w:tcPr>
          <w:p>
            <w:pPr>
              <w:spacing w:after="60"/>
            </w:pPr>
            <w:r>
              <w:rPr>
                <w:rFonts w:ascii="Arial" w:cs="Arial" w:eastAsia="Arial" w:hAnsi="Arial"/>
                <w:b/>
                <w:bCs/>
                <w:color w:val="003366"/>
                <w:sz w:val="22"/>
                <w:szCs w:val="22"/>
              </w:rPr>
              <w:t xml:space="preserve">Cycle Time Reduction Impact</w:t>
            </w:r>
          </w:p>
          <w:p>
            <w:r>
              <w:rPr>
                <w:rFonts w:ascii="Arial" w:cs="Arial" w:eastAsia="Arial" w:hAnsi="Arial"/>
                <w:color w:val="333333"/>
                <w:sz w:val="20"/>
                <w:szCs w:val="20"/>
              </w:rPr>
              <w:t xml:space="preserve">Industry average end-to-end onboarding: 90–120 days | Best-practice target (standard risk): 35–50 days | With full automation and front-loaded knowledge capture: 29–45 days | Reduction: 60–75% cycle time compression through deterministic knowledge foundations, automation, and governance alignment</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4.2 Phase-Level Task Detail with Cycle Times and SLAs</w:t>
      </w:r>
    </w:p>
    <w:p>
      <w:pPr>
        <w:pStyle w:val="Heading3"/>
        <w:spacing w:after="120" w:before="240"/>
      </w:pPr>
      <w:r>
        <w:rPr>
          <w:rFonts w:ascii="Arial" w:cs="Arial" w:eastAsia="Arial" w:hAnsi="Arial"/>
          <w:b/>
          <w:bCs/>
          <w:color w:val="333333"/>
          <w:sz w:val="24"/>
          <w:szCs w:val="24"/>
        </w:rPr>
        <w:t xml:space="preserve">Phase 1: Initiation and Intake (Target: 1–2 Business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1.1 Intake Request Submission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Requestor submits new idea, vendor, or AI use case through self-service portal with structured intake form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Requestor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1.1.1 Auto-populate known fields</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pre-fills vendor data from existing registries, Trust Centers, and prior assessments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1.1.2 Validate data completeness</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BPM engine checks all required fields before advancing; returns to requestor if incomplete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1.2 Use Case Data Collection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Capture use case description, business justification, data types involved, integration points, and expected user base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Requestor / Bus. Owner</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1.3 Preliminary Categorization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applies rule-based classification to determine initiative type (new vendor, AI use case, internal tool, etc.)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1.4 Routing Assignment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BPM engine routes to appropriate workflow lane based on categorization; assigns initial case manager</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2: Planning and Inherent Risk Scoping (Target: 3–5 Business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2.1 Use Case Value Assessment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Evaluate strategic alignment, business case strength, expected ROI, and organizational capacity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Business Owner / PMO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2.1.1 Strategic alignment scoring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Score against enterprise strategy pillars using weighted criteria matrix</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PMO</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2.1.2 Financial impact modeling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Model expected value creation, cost of implementation, and payback period</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2.2 Initial Risk Assessment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Calculate inherent risk score across dimensions: data sensitivity, regulatory exposure, operational criticality, AI complexity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 TPRM Team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2.2.1 Data classification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Classify data types (PII, PHI, financial, proprietary) using automated tagging against data taxonomy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0.25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 Data Governance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2.2.2 Regulatory mapping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Map applicable regulations (GDPR, CCPA, DORA, SOX, GLBA) based on data types, geography, and industry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0.25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 Compliance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2.2.3 Inherent risk scoring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Apply weighted risk model to generate composite inherent risk score and tier classification</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0.25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2.3 Risk Tier Assignment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Classify as Minimal, Limited, High, or Unacceptable based on inherent risk score thresholds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2.4 Scope Definition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Define assessment scope, identify required stakeholders, and establish phase-specific timelines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0.5–1 day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Manager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2.5 Knowledge Harvesting Initiation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 front-loaded questionnaires and automated evidence requests to vendor and internal stakeholders simultaneously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 Case Manager</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3: Due Diligence and Swarm Evaluation (Target: 5–8 Business Days (Standard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3.1 Vendor Evidence Collection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Collect SOC 2 reports, penetration test results, financial statements, insurance certificates, and compliance attestations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2–4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Vendor / Trust Center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3.1.1 Trust Center integration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Auto-ingest evidence from vendor Trust Centers (Vanta, TrustCloud, Drata) via API connections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3.1.2 Gap identification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identifies missing evidence items and auto-sends targeted requests to vendor</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3.2 AI Agent Swarm Deployment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 Investigator, Compliance, and Checker agents to evaluate all collected evidence against policy requirements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0.5–1 day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(Agent Swarm)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3.2.1 Investigator Agent analysis</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Parse SOC 2 reports, pen tests, and financial statements to extract evidence for each policy requirement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&lt; 2 minutes per report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Investigator Agent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hours total</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3.2.2 Compliance Agent cross-reference</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Cross-reference findings against client standards and regulatory benchmarks (NIST, DORA, SOX)</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&lt; 5 minutes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Agent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hours total</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3.2.3 Checker Agent validation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Validate reasoning of Investigator; log agreements, escalate disagreements with full context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&lt; 5 minutes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Checker Agent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hours total</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3.3 Cybersecurity Assessment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Evaluate encryption standards, identity management, vulnerability programs, and Nth-party risks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Cybersecurity Team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3.3.1 External attack surface scan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scan of vendor external-facing infrastructure using CSM platforms (BitSight, SecurityScorecard)</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3.3.2 Nth-party risk mapping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Identify and assess vendor’s own critical sub-contractors and fourth-party dependencies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Cybersecurity / TPRM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3.4 AI Model Risk Assessment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 AI-related initiatives: evaluate model transparency, bias testing, explainability, and privacy protections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Governance Team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3.4.1 Model card review</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vendor model cards for training data provenance, performance metrics, and known limitations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Governance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3.4.2 Bias and fairness testing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Execute bias detection tests across protected classes using standardized test suites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Governance / Data Science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3.5 Financial Stability Review</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audited financial statements, liquidity ratios, credit ratings, and insurance coverage adequacy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Finance / Risk</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3.6 Operational Resilience Assessment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Verify RTO/RPO metrics, BCDR testing evidence, incident response plans, and geographic redundancy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Operations / Risk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4: Governance Review and Approval (Target: 3–5 Business Days (Standard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4.1 Assessment Package Assembly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Compile all due diligence findings, agent swarm results, risk scores, and recommendations into governance review package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Manager / System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4.2 Risk-Tiered Review Routing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Route to appropriate review body based on risk classification (Fast Path / Governance Committee / Advisory Board)</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4.3 Governance Team Decision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body evaluates package and renders Approved, Rejected, or Conditional Approval decision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 Committee / Advisory Board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666666"/>
                <w:sz w:val="18"/>
                <w:szCs w:val="18"/>
              </w:rPr>
              <w:t xml:space="preserve">Manual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days max</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4.3.1 Minimal risk: Fast Path Review</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checks plus single-reviewer approval for pre-approved criteria matches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Fast Path Reviewer</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4.3.2 Limited risk: Committee Review</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Full Governance Committee review with compliance cross-reference and stakeholder sign-off</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 Committee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666666"/>
                <w:sz w:val="18"/>
                <w:szCs w:val="18"/>
              </w:rPr>
              <w:t xml:space="preserve">Manual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4.3.3 High risk: Advisory Board Review</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Full AI Governance Advisory Board review with legal, compliance, risk, and security representation</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5–10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 Advisory Board</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666666"/>
                <w:sz w:val="18"/>
                <w:szCs w:val="18"/>
              </w:rPr>
              <w:t xml:space="preserve">Manual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 days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4.4 Exception Management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 borderline cases or escalations from lower tiers, route to AI Governance Advisory Board for exception review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 Advisory Board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666666"/>
                <w:sz w:val="18"/>
                <w:szCs w:val="18"/>
              </w:rPr>
              <w:t xml:space="preserve">Manual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4.5 Decision Documentation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Record decision rationale, conditions, and required remediation items in audit trail</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0.25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Manager / 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5: Contracting and Controls Implementation (Target: 5–7 Business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5.1 Contract Negotiation and Execution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Negotiate MSA, DPA, SLAs, Right to Audit clauses, Step-in Rights, and breach notification timelines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Legal / Procurement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5.1.1 Template matching</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Auto-select contract template based on vendor type, risk tier, data classification, and regulatory requirements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5.1.2 Clause validation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AI-assisted review of vendor redlines against mandatory clause library to identify non-negotiable gaps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Legal / 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5.2 Remediation Task Assignment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 any gaps identified during due diligence, assign remediation tasks with deadlines and tracking</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Manager / BPM 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5.3 Controls Configuration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Configure all required controls based on risk tier and governance requirements; map to evidence collection mechanisms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Security / Compliance / IT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5.3.1 Control mapping to frameworks</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Map configured controls to NIST CSF 2.0, ISO 27001, DORA, and FS AI RMF control objectives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 Compliance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5.3.2 Evidence collection setup</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Configure automated evidence collection cadence and sources for each control</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 Security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5.4 Knowledge Base Update</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Update deterministic knowledge base with vendor profile, controls, SLAs, and governance decision context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0.25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6: SDLC Development and Testing (Target: 10–15 Business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6.1 Development Planning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Define sprint structure, technical architecture, integration points, and testing strategy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Engineering Lead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6.2 Development Execution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Build solution per approved design, integrating required controls and monitoring hooks at code level</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5–10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Development Team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6.2.1 Governance control integration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Embed required governance controls, logging, and audit trail capabilities into solution architecture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Concurrent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Dev Team / Security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Integrated</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6.2.2 Compliance checkpoint reviews</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Conduct in-sprint compliance reviews to catch deviations early before they compound</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sprint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 QA</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sprint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6.3 Security Testing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Execute SAST, DAST, dependency scanning, and penetration testing on developed solution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Security / QA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6.4 Compliance Validation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Validate solution meets all regulatory and governance requirements identified during planning phases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 AI Governance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6.5 AI-Specific Testing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 AI use cases: model performance validation, bias re-testing, explainability verification, and drift baseline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Governance / Data Science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6.6 Pre-Deployment Review Package</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Compile test results, compliance validation, security clearance, and readiness assessment for deployment gate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Manager / 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7: Deployment Decision and Go-Live (Target: 2–3 Business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7.1 Deployment Readiness Assessment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pre-deployment package against go/no-go criteria including all control validations and test results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0.5–1 day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Deployment Review Board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7.2 Deployment Decision Gate</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Exclusive gateway: Approved (proceed to production) or Rejected (return to development with remediation requirements)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Deployment Review Board</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666666"/>
                <w:sz w:val="18"/>
                <w:szCs w:val="18"/>
              </w:rPr>
              <w:t xml:space="preserve">Manual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7.3 Production Cutover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Execute deployment plan, activate monitoring, configure alerting thresholds, and validate production readiness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0.5–1 day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Engineering / Operations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day</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7.4 Post-Deployment Validation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Verify solution functions correctly in production, confirm all controls are active and collecting evidence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Operations / QA</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Same day</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333333"/>
          <w:sz w:val="24"/>
          <w:szCs w:val="24"/>
        </w:rPr>
        <w:t xml:space="preserve">Phase 8: Production Operations, Monitoring &amp; Retirement (Target: Ongoing (Continuous))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gridCol w:w="1280"/>
      </w:tblGrid>
      <w:tr>
        <w:tc>
          <w:tcPr>
            <w:tcW w:type="dxa" w:w="24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 / Sub-Task</w:t>
            </w:r>
          </w:p>
        </w:tc>
        <w:tc>
          <w:tcPr>
            <w:tcW w:type="dxa" w:w="28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Cycle Time</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c>
          <w:tcPr>
            <w:tcW w:type="dxa" w:w="12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8.1 Production Operation and Monitoring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monitoring of solution performance, security posture, and compliance status against assigned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Operations / Security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8.1.1 Evidence collection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collection of evidence for each assigned control per configured cadence (daily/weekly/monthly)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cadence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cadence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8.1.2 Anomaly detection</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AI-driven monitoring for performance drift, security anomalies, and compliance deviations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8.2 Continuous Improvement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monitoring data, identify optimization opportunities, and implement improvements within approved parameters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Operations / Engineering</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cycle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8.3 Control-Based Monitoring Cadence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Timer-triggered review cycles based on risk tier: High=monthly, Limited=quarterly, Minimal=semi-annually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tier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TPRM Team / System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Full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tier</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8.4 Trigger Review on Demand</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Message-triggered ad hoc review based on external events (breach notification, regulatory change, adverse media)</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 TPRM Team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8.5 Change Management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 material changes: trigger new governance review cycle; assess impact against original risk classification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3–7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Change Advisory Board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8.6 Vendor Reassessment</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Periodic full reassessment of vendor per contractual and regulatory requirements (annually or per trigger)</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5–10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TPRM Team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 days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8.7 Decommission Planning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 retirement decisions: plan data migration, dependency unwinding, stakeholder notification, and knowledge capture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5–10 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Engineering / Operations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8.7.1 Knowledge capture</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Extract and archive all institutional knowledge, decision rationale, and lessons learned before retirement</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Manager / System</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8.7.2 Data archival</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Archive or securely destroy all data per retention policies and regulatory requirements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days</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Governance / Security</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days</w:t>
            </w:r>
          </w:p>
        </w:tc>
      </w:tr>
      <w:tr>
        <w:tc>
          <w:tcPr>
            <w:tcW w:type="dxa" w:w="24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8.8 End States</w:t>
            </w:r>
          </w:p>
        </w:tc>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 Case Retired (graceful wind-down) or Use Case Terminated (immediate cessation for cause)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plan</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w:t>
            </w:r>
          </w:p>
        </w:tc>
        <w:tc>
          <w:tcPr>
            <w:tcW w:type="dxa" w:w="1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Partial</w:t>
            </w:r>
          </w:p>
        </w:tc>
        <w:tc>
          <w:tcPr>
            <w:tcW w:type="dxa" w:w="12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plan</w:t>
            </w:r>
          </w:p>
        </w:tc>
      </w:tr>
    </w:tbl>
    <w:p>
      <w:pPr>
        <w:spacing w:after="120"/>
        <w:jc w:val="left"/>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003366"/>
          <w:sz w:val="32"/>
          <w:szCs w:val="32"/>
        </w:rPr>
        <w:t xml:space="preserve">5. Automation and Acceleration Opportunities</w:t>
      </w:r>
    </w:p>
    <w:p>
      <w:pPr>
        <w:spacing w:after="120"/>
        <w:jc w:val="left"/>
      </w:pPr>
      <w:r>
        <w:rPr>
          <w:rFonts w:ascii="Arial" w:cs="Arial" w:eastAsia="Arial" w:hAnsi="Arial"/>
          <w:b w:val="false"/>
          <w:bCs w:val="false"/>
          <w:i w:val="false"/>
          <w:iCs w:val="false"/>
          <w:color w:val="333333"/>
          <w:sz w:val="22"/>
          <w:szCs w:val="22"/>
        </w:rPr>
        <w:t xml:space="preserve">This section identifies specific opportunities where automation, AI agent swarms, and process redesign can compress cycle times across the lifecycle. Each opportunity is mapped to its phase, expected time savings, and implementation approach.</w:t>
      </w:r>
    </w:p>
    <w:p>
      <w:pPr>
        <w:pStyle w:val="Heading2"/>
        <w:spacing w:after="120" w:before="240"/>
      </w:pPr>
      <w:r>
        <w:rPr>
          <w:rFonts w:ascii="Arial" w:cs="Arial" w:eastAsia="Arial" w:hAnsi="Arial"/>
          <w:b/>
          <w:bCs/>
          <w:color w:val="0066CC"/>
          <w:sz w:val="28"/>
          <w:szCs w:val="28"/>
        </w:rPr>
        <w:t xml:space="preserve">5.1 Automation Opportunity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100"/>
        <w:gridCol w:w="1680"/>
        <w:gridCol w:w="1680"/>
        <w:gridCol w:w="1260"/>
        <w:gridCol w:w="2100"/>
      </w:tblGrid>
      <w:tr>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1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Opportunity</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State</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Future State</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Saved</w:t>
            </w:r>
          </w:p>
        </w:tc>
        <w:tc>
          <w:tcPr>
            <w:tcW w:type="dxa" w:w="21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Auto-populate intake from vendor registries and Trust Centers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Manual form completion: 2–3 days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Pre-filled with validation: 0.5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1.5–2.5 days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 integration, Trust Center connectors, data taxonomy engine</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Deterministic risk scoring and tier assignment</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Manual assessment: 2–3 days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scoring: real-time</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2–3 days</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Rule engine, weighted risk model, regulatory mapping DB</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Agent Swarm for evidence evaluation</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Manual SOC 2 review: 35+ min/report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Agent processing: &lt; 2 min/report</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95%+ per report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Investigator, Compliance, and Checker agent architecture</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security monitoring integration</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Point-in-time assessment: quarterly</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Real-time telemetry: continuous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Eliminates lag</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BitSight, SecurityScorecard, CSM platform APIs</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governance package assembly</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Manual compilation: 1–2 days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Auto-assembled: 0.25 days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0.75–1.75 days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BPM workflow aggregation, template engine</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AI-assisted contract review and clause matching</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Manual legal review: 3–5 days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AI-flagged with human approval: 1–2 days</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2–3 days</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NLP clause extraction, mandatory clause library, deviation scoring</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In-sprint compliance checkpoints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End-of-cycle review: rework risk</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validation: zero rework</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3–5 days rework avoided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CI/CD pipeline hooks, policy-as-code validation</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evidence collection and anomaly detection</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Manual evidence gathering: 5+ days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per cadence: real-time</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5+ days per cycle</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Control monitoring platform, AI anomaly detection</w:t>
            </w:r>
          </w:p>
        </w:tc>
      </w:tr>
    </w:tbl>
    <w:p>
      <w:pPr>
        <w:spacing w:after="120"/>
        <w:jc w:val="left"/>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003366"/>
          <w:sz w:val="32"/>
          <w:szCs w:val="32"/>
        </w:rPr>
        <w:t xml:space="preserve">6. Front-Loaded Information Harvesting Model</w:t>
      </w:r>
    </w:p>
    <w:p>
      <w:pPr>
        <w:spacing w:after="120"/>
        <w:jc w:val="left"/>
      </w:pPr>
      <w:r>
        <w:rPr>
          <w:rFonts w:ascii="Arial" w:cs="Arial" w:eastAsia="Arial" w:hAnsi="Arial"/>
          <w:b w:val="false"/>
          <w:bCs w:val="false"/>
          <w:i w:val="false"/>
          <w:iCs w:val="false"/>
          <w:color w:val="333333"/>
          <w:sz w:val="22"/>
          <w:szCs w:val="22"/>
        </w:rPr>
        <w:t xml:space="preserve">One of the most significant sources of cycle time waste in traditional TPRM and governance processes is the serial collection of information—where data needed in Phase 5 is only requested after Phase 4 completes. This section redesigns the information flow to harvest high-value information upstream, compressing downstream cycle times by 40–60%.</w:t>
      </w:r>
    </w:p>
    <w:p>
      <w:pPr>
        <w:pStyle w:val="Heading2"/>
        <w:spacing w:after="120" w:before="240"/>
      </w:pPr>
      <w:r>
        <w:rPr>
          <w:rFonts w:ascii="Arial" w:cs="Arial" w:eastAsia="Arial" w:hAnsi="Arial"/>
          <w:b/>
          <w:bCs/>
          <w:color w:val="0066CC"/>
          <w:sz w:val="28"/>
          <w:szCs w:val="28"/>
        </w:rPr>
        <w:t xml:space="preserve">6.1 Information Demand Analysis: What Is Ultimately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680"/>
        <w:gridCol w:w="1680"/>
        <w:gridCol w:w="1260"/>
        <w:gridCol w:w="1680"/>
        <w:gridCol w:w="1680"/>
      </w:tblGrid>
      <w:tr>
        <w:tc>
          <w:tcPr>
            <w:tcW w:type="dxa" w:w="21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Element</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Currently Collected In</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Optimized Collection In</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Saved</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Downstream Impact</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Pre-Structuring Method</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Vendor SOC 2 / SOC 2 Type II Reports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3 (Due Diligence)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1 (Intake)</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2–3 days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Enables parallel agent swarm analysis during planning</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Trust Center API auto-ingestion at intake trigger</w:t>
            </w:r>
          </w:p>
        </w:tc>
      </w:tr>
      <w:tr>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Processing Addendum (DPA) Terms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5 (Contracting)</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1 (Intake)</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3–5 days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Pre-qualifies contractual readiness; eliminates negotiation loops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Standard DPA template with vendor self-attestation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Model Cards and Training Data Provenance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3 (Due Diligence)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1 (Intake)</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2–3 days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Enables risk scoring to include AI-specific factors from the start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Standardized model card template in intake form</w:t>
            </w:r>
          </w:p>
        </w:tc>
      </w:tr>
      <w:tr>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Regulatory Framework Applicability</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2 (Planning)</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1 (Intake)</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1–2 days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Deterministic rule engine maps regulations automatically at intake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type + geography + industry = auto-mapped frameworks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Financial Statements and Insurance Certificates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3 (Due Diligence)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1 (Intake)</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1–2 days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Allows financial stability check to run in parallel with technical assessment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Vendor portal upload requirements at intake</w:t>
            </w:r>
          </w:p>
        </w:tc>
      </w:tr>
      <w:tr>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Penetration Test Results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3 (Due Diligence)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1 (Intake)</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2–3 days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Enables immediate cybersecurity assessment without waiting for due diligence phase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Trust Center auto-pull or vendor self-service upload at intake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Subcontractor/Nth-Party Dependency Map</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3 (Due Diligence)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Phase 2 (Planning)</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1–2 days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Enables scope expansion to include Nth-party risks in initial assessment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Structured questionnaire with vendor dependency disclosure</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6.2 Deterministic Knowledge Foundations</w:t>
      </w:r>
    </w:p>
    <w:p>
      <w:pPr>
        <w:spacing w:after="120"/>
        <w:jc w:val="left"/>
      </w:pPr>
      <w:r>
        <w:rPr>
          <w:rFonts w:ascii="Arial" w:cs="Arial" w:eastAsia="Arial" w:hAnsi="Arial"/>
          <w:b w:val="false"/>
          <w:bCs w:val="false"/>
          <w:i w:val="false"/>
          <w:iCs w:val="false"/>
          <w:color w:val="333333"/>
          <w:sz w:val="22"/>
          <w:szCs w:val="22"/>
        </w:rPr>
        <w:t xml:space="preserve">The front-loaded information harvesting model is anchored to deterministic knowledge foundations that ensure required data elements are known in advance, the knowledge base is pre-structured, and governance logic can be applied programmatically. This transforms TPRM from a reactive document-chase process to a proactive, data-driven operating model.</w:t>
      </w:r>
    </w:p>
    <w:p>
      <w:pPr>
        <w:spacing w:after="120"/>
      </w:pPr>
      <w:r>
        <w:rPr>
          <w:rFonts w:ascii="Arial" w:cs="Arial" w:eastAsia="Arial" w:hAnsi="Arial"/>
          <w:b/>
          <w:bCs/>
          <w:color w:val="333333"/>
          <w:sz w:val="22"/>
          <w:szCs w:val="22"/>
        </w:rPr>
        <w:t xml:space="preserve">Pre-Defined Data Taxonomy: </w:t>
      </w:r>
      <w:r>
        <w:rPr>
          <w:rFonts w:ascii="Arial" w:cs="Arial" w:eastAsia="Arial" w:hAnsi="Arial"/>
          <w:color w:val="333333"/>
          <w:sz w:val="22"/>
          <w:szCs w:val="22"/>
        </w:rPr>
        <w:t xml:space="preserve">Every information element required across all 8 phases is catalogued in a master data taxonomy. At intake, the system knows exactly what it will need for every downstream phase and begins collection immediately.</w:t>
      </w:r>
    </w:p>
    <w:p>
      <w:pPr>
        <w:spacing w:after="120"/>
      </w:pPr>
      <w:r>
        <w:rPr>
          <w:rFonts w:ascii="Arial" w:cs="Arial" w:eastAsia="Arial" w:hAnsi="Arial"/>
          <w:b/>
          <w:bCs/>
          <w:color w:val="333333"/>
          <w:sz w:val="22"/>
          <w:szCs w:val="22"/>
        </w:rPr>
        <w:t xml:space="preserve">Pre-Structured Knowledge Base: </w:t>
      </w:r>
      <w:r>
        <w:rPr>
          <w:rFonts w:ascii="Arial" w:cs="Arial" w:eastAsia="Arial" w:hAnsi="Arial"/>
          <w:color w:val="333333"/>
          <w:sz w:val="22"/>
          <w:szCs w:val="22"/>
        </w:rPr>
        <w:t xml:space="preserve">The knowledge base schema mirrors the governance and compliance framework structure. When evidence is collected, it is automatically classified and stored in the correct location for downstream consumption.</w:t>
      </w:r>
    </w:p>
    <w:p>
      <w:pPr>
        <w:spacing w:after="120"/>
      </w:pPr>
      <w:r>
        <w:rPr>
          <w:rFonts w:ascii="Arial" w:cs="Arial" w:eastAsia="Arial" w:hAnsi="Arial"/>
          <w:b/>
          <w:bCs/>
          <w:color w:val="333333"/>
          <w:sz w:val="22"/>
          <w:szCs w:val="22"/>
        </w:rPr>
        <w:t xml:space="preserve">Programmatic Governance Logic: </w:t>
      </w:r>
      <w:r>
        <w:rPr>
          <w:rFonts w:ascii="Arial" w:cs="Arial" w:eastAsia="Arial" w:hAnsi="Arial"/>
          <w:color w:val="333333"/>
          <w:sz w:val="22"/>
          <w:szCs w:val="22"/>
        </w:rPr>
        <w:t xml:space="preserve">Control requirements, approval thresholds, escalation rules, and SLA timelines are encoded as executable rules in the BPM engine. This eliminates interpretation variance and ensures consistent application of governance standards.</w:t>
      </w:r>
    </w:p>
    <w:p>
      <w:pPr>
        <w:spacing w:after="120"/>
      </w:pPr>
      <w:r>
        <w:rPr>
          <w:rFonts w:ascii="Arial" w:cs="Arial" w:eastAsia="Arial" w:hAnsi="Arial"/>
          <w:b/>
          <w:bCs/>
          <w:color w:val="333333"/>
          <w:sz w:val="22"/>
          <w:szCs w:val="22"/>
        </w:rPr>
        <w:t xml:space="preserve">Cumulative Knowledge Effect: </w:t>
      </w:r>
      <w:r>
        <w:rPr>
          <w:rFonts w:ascii="Arial" w:cs="Arial" w:eastAsia="Arial" w:hAnsi="Arial"/>
          <w:color w:val="333333"/>
          <w:sz w:val="22"/>
          <w:szCs w:val="22"/>
        </w:rPr>
        <w:t xml:space="preserve">Each completed assessment enriches the knowledge base. Subsequent assessments for similar vendor profiles benefit from prior evidence patterns, benchmark data, and established risk profiles—reducing incremental assessment effort by 30–50% over time.</w:t>
      </w:r>
    </w:p>
    <w:p>
      <w:r>
        <w:br w:type="page"/>
      </w:r>
    </w:p>
    <w:p>
      <w:pPr>
        <w:pStyle w:val="Heading1"/>
        <w:spacing w:after="120" w:before="360"/>
      </w:pPr>
      <w:r>
        <w:rPr>
          <w:rFonts w:ascii="Arial" w:cs="Arial" w:eastAsia="Arial" w:hAnsi="Arial"/>
          <w:b/>
          <w:bCs/>
          <w:color w:val="003366"/>
          <w:sz w:val="32"/>
          <w:szCs w:val="32"/>
        </w:rPr>
        <w:t xml:space="preserve">7. AI Governance and Enterprise Controls Integration</w:t>
      </w:r>
    </w:p>
    <w:p>
      <w:pPr>
        <w:spacing w:after="120"/>
        <w:jc w:val="left"/>
      </w:pPr>
      <w:r>
        <w:rPr>
          <w:rFonts w:ascii="Arial" w:cs="Arial" w:eastAsia="Arial" w:hAnsi="Arial"/>
          <w:b w:val="false"/>
          <w:bCs w:val="false"/>
          <w:i w:val="false"/>
          <w:iCs w:val="false"/>
          <w:color w:val="333333"/>
          <w:sz w:val="22"/>
          <w:szCs w:val="22"/>
        </w:rPr>
        <w:t xml:space="preserve">This section ensures complete integration of AI governance requirements with TPRM, legal, risk, compliance, security, and regulatory obligations. The model maps all governance requirements down to the task and sub-task level to ensure no control gaps exist.</w:t>
      </w:r>
    </w:p>
    <w:p>
      <w:pPr>
        <w:pStyle w:val="Heading2"/>
        <w:spacing w:after="120" w:before="240"/>
      </w:pPr>
      <w:r>
        <w:rPr>
          <w:rFonts w:ascii="Arial" w:cs="Arial" w:eastAsia="Arial" w:hAnsi="Arial"/>
          <w:b/>
          <w:bCs/>
          <w:color w:val="0066CC"/>
          <w:sz w:val="28"/>
          <w:szCs w:val="28"/>
        </w:rPr>
        <w:t xml:space="preserve">7.1 Control Framework Alignment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Domain</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NIST CSF 2.0</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ISO 27001</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DORA</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FS AI RMF</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Lifecycle Phase(s)</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Access Control and Identity Management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PR.AA, PR.DS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A.9.1–A.9.4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9</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MAP 3.1–3.4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3, 5, 6, 8</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Data Protection and Privacy</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PR.DS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A.8.2, A.18.1</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10–11</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 5.1–5.3</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1, 2, 3, 5, 8</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AI Model Transparency and Explainability</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ID.GV</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 (ext.)</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12</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MAP 1.1–1.6, MFN 2.1–2.6</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2, 3, 4, 6, 8</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AI Bias and Fairness Testing</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ID.GV</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 (ext.)</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12</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MFN 3.1–3.3, MGT 4.1–4.2</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3, 6, 8</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Incident Response and Business Continuity</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RS.RP, RC.RP</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A.16.1, A.17.1</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17–18</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MGT 3.1–3.4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3, 5, 8</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Third-Party and Nth-Party Risk</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ID.SC</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A.15.1–A.15.2</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28–30</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 1.1–1.7</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2, 3, 4, 5, 8</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Audit Logging and Recordkeeping</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DE.AE, PR.DS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A.12.4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19–20</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MGT 2.1–2.4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phases</w:t>
            </w:r>
          </w:p>
        </w:tc>
      </w:tr>
      <w:tr>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Change Management and Configuration</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PR.IP</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A.12.1, A.14.2</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8–9</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MGT 1.1–1.3</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6, 8</w:t>
            </w:r>
          </w:p>
        </w:tc>
      </w:tr>
      <w:tr>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Regulatory Reporting and Compliance</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ID.GV</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A.18.1–A.18.2</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Art. 22–24</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 2.1–2.3</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4, 5, 8</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7.2 Governance Gap Analysis Methodology</w:t>
      </w:r>
    </w:p>
    <w:p>
      <w:pPr>
        <w:spacing w:after="120"/>
        <w:jc w:val="left"/>
      </w:pPr>
      <w:r>
        <w:rPr>
          <w:rFonts w:ascii="Arial" w:cs="Arial" w:eastAsia="Arial" w:hAnsi="Arial"/>
          <w:b w:val="false"/>
          <w:bCs w:val="false"/>
          <w:i w:val="false"/>
          <w:iCs w:val="false"/>
          <w:color w:val="333333"/>
          <w:sz w:val="22"/>
          <w:szCs w:val="22"/>
        </w:rPr>
        <w:t xml:space="preserve">To ensure no control gaps exist, the framework applies a systematic gap analysis methodology at three levels:</w:t>
      </w:r>
    </w:p>
    <w:p>
      <w:pPr>
        <w:spacing w:after="120"/>
      </w:pPr>
      <w:r>
        <w:rPr>
          <w:rFonts w:ascii="Arial" w:cs="Arial" w:eastAsia="Arial" w:hAnsi="Arial"/>
          <w:b/>
          <w:bCs/>
          <w:color w:val="333333"/>
          <w:sz w:val="22"/>
          <w:szCs w:val="22"/>
        </w:rPr>
        <w:t xml:space="preserve">Level 1 – Framework Coverage: </w:t>
      </w:r>
      <w:r>
        <w:rPr>
          <w:rFonts w:ascii="Arial" w:cs="Arial" w:eastAsia="Arial" w:hAnsi="Arial"/>
          <w:color w:val="333333"/>
          <w:sz w:val="22"/>
          <w:szCs w:val="22"/>
        </w:rPr>
        <w:t xml:space="preserve">Every regulatory framework applicable to the institution is mapped to the control taxonomy. Any control objective not covered by at least one internal control is flagged as a gap.</w:t>
      </w:r>
    </w:p>
    <w:p>
      <w:pPr>
        <w:spacing w:after="120"/>
      </w:pPr>
      <w:r>
        <w:rPr>
          <w:rFonts w:ascii="Arial" w:cs="Arial" w:eastAsia="Arial" w:hAnsi="Arial"/>
          <w:b/>
          <w:bCs/>
          <w:color w:val="333333"/>
          <w:sz w:val="22"/>
          <w:szCs w:val="22"/>
        </w:rPr>
        <w:t xml:space="preserve">Level 2 – Lifecycle Coverage: </w:t>
      </w:r>
      <w:r>
        <w:rPr>
          <w:rFonts w:ascii="Arial" w:cs="Arial" w:eastAsia="Arial" w:hAnsi="Arial"/>
          <w:color w:val="333333"/>
          <w:sz w:val="22"/>
          <w:szCs w:val="22"/>
        </w:rPr>
        <w:t xml:space="preserve">Every control in the taxonomy is mapped to at least one lifecycle phase. Controls not actively tested or monitored in any phase are flagged as implementation gaps.</w:t>
      </w:r>
    </w:p>
    <w:p>
      <w:pPr>
        <w:spacing w:after="120"/>
      </w:pPr>
      <w:r>
        <w:rPr>
          <w:rFonts w:ascii="Arial" w:cs="Arial" w:eastAsia="Arial" w:hAnsi="Arial"/>
          <w:b/>
          <w:bCs/>
          <w:color w:val="333333"/>
          <w:sz w:val="22"/>
          <w:szCs w:val="22"/>
        </w:rPr>
        <w:t xml:space="preserve">Level 3 – Evidence Coverage: </w:t>
      </w:r>
      <w:r>
        <w:rPr>
          <w:rFonts w:ascii="Arial" w:cs="Arial" w:eastAsia="Arial" w:hAnsi="Arial"/>
          <w:color w:val="333333"/>
          <w:sz w:val="22"/>
          <w:szCs w:val="22"/>
        </w:rPr>
        <w:t xml:space="preserve">Every control mapped to a lifecycle phase must have at least one defined evidence source and collection mechanism. Controls without evidence collection are flagged as observability gaps.</w:t>
      </w:r>
    </w:p>
    <w:p>
      <w:pPr>
        <w:spacing w:after="120"/>
        <w:jc w:val="left"/>
      </w:pPr>
      <w:r>
        <w:rPr>
          <w:rFonts w:ascii="Arial" w:cs="Arial" w:eastAsia="Arial" w:hAnsi="Arial"/>
          <w:b w:val="false"/>
          <w:bCs w:val="false"/>
          <w:i w:val="false"/>
          <w:iCs w:val="false"/>
          <w:color w:val="333333"/>
          <w:sz w:val="22"/>
          <w:szCs w:val="22"/>
        </w:rPr>
        <w:t xml:space="preserve">This three-level methodology ensures complete traceability from regulatory requirement to control objective to lifecycle phase to evidence collection to audit trail.</w:t>
      </w:r>
    </w:p>
    <w:p>
      <w:r>
        <w:br w:type="page"/>
      </w:r>
    </w:p>
    <w:p>
      <w:pPr>
        <w:pStyle w:val="Heading1"/>
        <w:spacing w:after="120" w:before="360"/>
      </w:pPr>
      <w:r>
        <w:rPr>
          <w:rFonts w:ascii="Arial" w:cs="Arial" w:eastAsia="Arial" w:hAnsi="Arial"/>
          <w:b/>
          <w:bCs/>
          <w:color w:val="003366"/>
          <w:sz w:val="32"/>
          <w:szCs w:val="32"/>
        </w:rPr>
        <w:t xml:space="preserve">8. Dependency Mapping and Traceability</w:t>
      </w:r>
    </w:p>
    <w:p>
      <w:pPr>
        <w:spacing w:after="120"/>
        <w:jc w:val="left"/>
      </w:pPr>
      <w:r>
        <w:rPr>
          <w:rFonts w:ascii="Arial" w:cs="Arial" w:eastAsia="Arial" w:hAnsi="Arial"/>
          <w:b w:val="false"/>
          <w:bCs w:val="false"/>
          <w:i w:val="false"/>
          <w:iCs w:val="false"/>
          <w:color w:val="333333"/>
          <w:sz w:val="22"/>
          <w:szCs w:val="22"/>
        </w:rPr>
        <w:t xml:space="preserve">This section provides a fully connected model showing inputs and outputs across all steps, control dependencies, data dependencies, SLA implications, and ownership and accountability. The goal is complete traceability across TPRM, AI governance, legal, risk, compliance, and operational onboarding.</w:t>
      </w:r>
    </w:p>
    <w:p>
      <w:pPr>
        <w:pStyle w:val="Heading2"/>
        <w:spacing w:after="120" w:before="240"/>
      </w:pPr>
      <w:r>
        <w:rPr>
          <w:rFonts w:ascii="Arial" w:cs="Arial" w:eastAsia="Arial" w:hAnsi="Arial"/>
          <w:b/>
          <w:bCs/>
          <w:color w:val="0066CC"/>
          <w:sz w:val="28"/>
          <w:szCs w:val="28"/>
        </w:rPr>
        <w:t xml:space="preserve">8.1 Cross-Phase Dependency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100"/>
        <w:gridCol w:w="2100"/>
        <w:gridCol w:w="1260"/>
        <w:gridCol w:w="1680"/>
        <w:gridCol w:w="1680"/>
      </w:tblGrid>
      <w:tr>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1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Key Inputs (from)</w:t>
            </w:r>
          </w:p>
        </w:tc>
        <w:tc>
          <w:tcPr>
            <w:tcW w:type="dxa" w:w="210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Key Outputs (to)</w:t>
            </w:r>
          </w:p>
        </w:tc>
        <w:tc>
          <w:tcPr>
            <w:tcW w:type="dxa" w:w="126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Impact</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Dependencies</w:t>
            </w:r>
          </w:p>
        </w:tc>
        <w:tc>
          <w:tcPr>
            <w:tcW w:type="dxa" w:w="168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Accountable Owner</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1. Initiation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Business need, vendor information, Trust Center data (external)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Intake record, preliminary categorization, routing assignment (to Phase 2)</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Gate for all downstream</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completeness validation</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Requestor / Case Manager</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2. Planning</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Intake record (Phase 1), pre-harvested evidence, regulatory mapping (Phase 1)</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tier, scope definition, knowledge harvest requests (to Phase 3)</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Delay cascades to Phase 3–7</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scoring model, regulatory framework DB</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 TPRM Lead</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3. Due Diligence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Risk tier (Phase 2), vendor evidence (Phase 1 pre-harvest + Phase 3 requests)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Agent swarm findings, assessment reports (to Phase 4)</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Longest variable phase; primary SLA risk</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Agent swarm deployment, CSM integration, Trust Center APIs</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TPRM Team / AI Gov.</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4. Governance Review</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Assessment package (Phase 3), risk classification (Phase 2)</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Approval/rejection decision, conditions (to Phase 5 or End)</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Human decision bottleneck</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 committee quorum, escalation rules</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Governance Committee Chair</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5. Contracting</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Approval decision (Phase 4), DPA terms (Phase 1 pre-harvest), gap findings (Phase 3)</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Executed contract, configured controls (to Phase 6)</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Legal review = common bottleneck</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Mandatory clause library, control framework mapping</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Legal / Procurement Lead</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6. SDLC</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Contract and controls (Phase 5), governance conditions (Phase 4)</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Tested solution, compliance validation (to Phase 7)</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Longest fixed phase; drives total timeline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CI/CD pipeline, policy-as-code, in-sprint compliance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Engineering Lead</w:t>
            </w:r>
          </w:p>
        </w:tc>
      </w:tr>
      <w:tr>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7. Deployment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Pre-deployment package (Phase 6), control validations (Phase 6)</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Production deployment, monitoring activation (to Phase 8)</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Short phase; minimal SLA risk</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Go/no-go criteria, monitoring configuration</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Deployment Review Board</w:t>
            </w:r>
          </w:p>
        </w:tc>
      </w:tr>
      <w:tr>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8. Operations</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Deployed solution (Phase 7), control configuration (Phase 5), SLAs (Phase 5)</w:t>
            </w:r>
          </w:p>
        </w:tc>
        <w:tc>
          <w:tcPr>
            <w:tcW w:type="dxa" w:w="21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Monitoring data, evidence, reassessment triggers (loops back or to End)</w:t>
            </w:r>
          </w:p>
        </w:tc>
        <w:tc>
          <w:tcPr>
            <w:tcW w:type="dxa" w:w="12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SLA measured per control cadence</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Monitoring platform, evidence collection, anomaly detection</w:t>
            </w:r>
          </w:p>
        </w:tc>
        <w:tc>
          <w:tcPr>
            <w:tcW w:type="dxa" w:w="168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Operations / TPRM Team</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8.2 Critical Path and Bottleneck Analysis</w:t>
      </w:r>
    </w:p>
    <w:p>
      <w:pPr>
        <w:spacing w:after="120"/>
        <w:jc w:val="left"/>
      </w:pPr>
      <w:r>
        <w:rPr>
          <w:rFonts w:ascii="Arial" w:cs="Arial" w:eastAsia="Arial" w:hAnsi="Arial"/>
          <w:b w:val="false"/>
          <w:bCs w:val="false"/>
          <w:i w:val="false"/>
          <w:iCs w:val="false"/>
          <w:color w:val="333333"/>
          <w:sz w:val="22"/>
          <w:szCs w:val="22"/>
        </w:rPr>
        <w:t xml:space="preserve">The critical path through the lifecycle runs through Phases 1 → 2 → 3 → 4 → 5 → 6 → 7. The primary bottleneck points and their mitigation strategies are:</w:t>
      </w:r>
    </w:p>
    <w:p>
      <w:pPr>
        <w:spacing w:after="120"/>
      </w:pPr>
      <w:r>
        <w:rPr>
          <w:rFonts w:ascii="Arial" w:cs="Arial" w:eastAsia="Arial" w:hAnsi="Arial"/>
          <w:b/>
          <w:bCs/>
          <w:color w:val="333333"/>
          <w:sz w:val="22"/>
          <w:szCs w:val="22"/>
        </w:rPr>
        <w:t xml:space="preserve">Bottleneck 1 – Vendor Evidence Collection (Phase 3): </w:t>
      </w:r>
      <w:r>
        <w:rPr>
          <w:rFonts w:ascii="Arial" w:cs="Arial" w:eastAsia="Arial" w:hAnsi="Arial"/>
          <w:color w:val="333333"/>
          <w:sz w:val="22"/>
          <w:szCs w:val="22"/>
        </w:rPr>
        <w:t xml:space="preserve">Mitigated through Trust Center integration and front-loaded evidence harvesting at intake. Pre-harvest reduces Phase 3 dependency wait from 5–7 days to 1–2 days.</w:t>
      </w:r>
    </w:p>
    <w:p>
      <w:pPr>
        <w:spacing w:after="120"/>
      </w:pPr>
      <w:r>
        <w:rPr>
          <w:rFonts w:ascii="Arial" w:cs="Arial" w:eastAsia="Arial" w:hAnsi="Arial"/>
          <w:b/>
          <w:bCs/>
          <w:color w:val="333333"/>
          <w:sz w:val="22"/>
          <w:szCs w:val="22"/>
        </w:rPr>
        <w:t xml:space="preserve">Bottleneck 2 – Governance Committee Scheduling (Phase 4): </w:t>
      </w:r>
      <w:r>
        <w:rPr>
          <w:rFonts w:ascii="Arial" w:cs="Arial" w:eastAsia="Arial" w:hAnsi="Arial"/>
          <w:color w:val="333333"/>
          <w:sz w:val="22"/>
          <w:szCs w:val="22"/>
        </w:rPr>
        <w:t xml:space="preserve">Mitigated through risk-tiered routing that ensures only High Risk items require Advisory Board review. 70%+ of initiatives qualify for Fast Path or Committee review with shorter SLAs.</w:t>
      </w:r>
    </w:p>
    <w:p>
      <w:pPr>
        <w:spacing w:after="120"/>
      </w:pPr>
      <w:r>
        <w:rPr>
          <w:rFonts w:ascii="Arial" w:cs="Arial" w:eastAsia="Arial" w:hAnsi="Arial"/>
          <w:b/>
          <w:bCs/>
          <w:color w:val="333333"/>
          <w:sz w:val="22"/>
          <w:szCs w:val="22"/>
        </w:rPr>
        <w:t xml:space="preserve">Bottleneck 3 – Legal Contract Review (Phase 5): </w:t>
      </w:r>
      <w:r>
        <w:rPr>
          <w:rFonts w:ascii="Arial" w:cs="Arial" w:eastAsia="Arial" w:hAnsi="Arial"/>
          <w:color w:val="333333"/>
          <w:sz w:val="22"/>
          <w:szCs w:val="22"/>
        </w:rPr>
        <w:t xml:space="preserve">Mitigated through AI-assisted clause matching, pre-approved template selection, and front-loaded DPA terms. Reduces legal review cycle from 5–7 days to 2–3 days.</w:t>
      </w:r>
    </w:p>
    <w:p>
      <w:pPr>
        <w:spacing w:after="120"/>
      </w:pPr>
      <w:r>
        <w:rPr>
          <w:rFonts w:ascii="Arial" w:cs="Arial" w:eastAsia="Arial" w:hAnsi="Arial"/>
          <w:b/>
          <w:bCs/>
          <w:color w:val="333333"/>
          <w:sz w:val="22"/>
          <w:szCs w:val="22"/>
        </w:rPr>
        <w:t xml:space="preserve">Bottleneck 4 – SDLC Duration (Phase 6): </w:t>
      </w:r>
      <w:r>
        <w:rPr>
          <w:rFonts w:ascii="Arial" w:cs="Arial" w:eastAsia="Arial" w:hAnsi="Arial"/>
          <w:color w:val="333333"/>
          <w:sz w:val="22"/>
          <w:szCs w:val="22"/>
        </w:rPr>
        <w:t xml:space="preserve">Mitigated through in-sprint compliance checkpoints that eliminate end-of-cycle rework. Policy-as-code validation catches deviations before they compound.</w:t>
      </w:r>
    </w:p>
    <w:p>
      <w:r>
        <w:br w:type="page"/>
      </w:r>
    </w:p>
    <w:p>
      <w:pPr>
        <w:pStyle w:val="Heading1"/>
        <w:spacing w:after="120" w:before="360"/>
      </w:pPr>
      <w:r>
        <w:rPr>
          <w:rFonts w:ascii="Arial" w:cs="Arial" w:eastAsia="Arial" w:hAnsi="Arial"/>
          <w:b/>
          <w:bCs/>
          <w:color w:val="003366"/>
          <w:sz w:val="32"/>
          <w:szCs w:val="32"/>
        </w:rPr>
        <w:t xml:space="preserve">9. Final Integrated Workflow: End-to-End Operating Model</w:t>
      </w:r>
    </w:p>
    <w:p>
      <w:pPr>
        <w:spacing w:after="120"/>
        <w:jc w:val="left"/>
      </w:pPr>
      <w:r>
        <w:rPr>
          <w:rFonts w:ascii="Arial" w:cs="Arial" w:eastAsia="Arial" w:hAnsi="Arial"/>
          <w:b w:val="false"/>
          <w:bCs w:val="false"/>
          <w:i w:val="false"/>
          <w:iCs w:val="false"/>
          <w:color w:val="333333"/>
          <w:sz w:val="22"/>
          <w:szCs w:val="22"/>
        </w:rPr>
        <w:t xml:space="preserve">This section delivers the final, comprehensive, optimized end-to-end workflow that demonstrates how deterministic knowledge capture, automation, and governance alignment drive measurable cycle-time reduction from initiation through onboarding and ongoing operations.</w:t>
      </w:r>
    </w:p>
    <w:p>
      <w:pPr>
        <w:pStyle w:val="Heading2"/>
        <w:spacing w:after="120" w:before="240"/>
      </w:pPr>
      <w:r>
        <w:rPr>
          <w:rFonts w:ascii="Arial" w:cs="Arial" w:eastAsia="Arial" w:hAnsi="Arial"/>
          <w:b/>
          <w:bCs/>
          <w:color w:val="0066CC"/>
          <w:sz w:val="28"/>
          <w:szCs w:val="28"/>
        </w:rPr>
        <w:t xml:space="preserve">9.1 Integrated Process Flow Summary</w:t>
      </w:r>
    </w:p>
    <w:p>
      <w:pPr>
        <w:spacing w:after="120"/>
        <w:jc w:val="left"/>
      </w:pPr>
      <w:r>
        <w:rPr>
          <w:rFonts w:ascii="Arial" w:cs="Arial" w:eastAsia="Arial" w:hAnsi="Arial"/>
          <w:b w:val="false"/>
          <w:bCs w:val="false"/>
          <w:i w:val="false"/>
          <w:iCs w:val="false"/>
          <w:color w:val="333333"/>
          <w:sz w:val="22"/>
          <w:szCs w:val="22"/>
        </w:rPr>
        <w:t xml:space="preserve">The integrated workflow operates as a single BPMN 2.0 process with eight major phases, four risk-tiered review sub-processes, one monitoring loop sub-process, and three terminal end states. The workflow is designed for orchestration through enterprise BPM platforms (Camunda, jBPM) with event-driven architecture supporting real-time state management.</w:t>
      </w:r>
    </w:p>
    <w:p>
      <w:pPr>
        <w:pStyle w:val="Heading2"/>
        <w:spacing w:after="120" w:before="240"/>
      </w:pPr>
      <w:r>
        <w:rPr>
          <w:rFonts w:ascii="Arial" w:cs="Arial" w:eastAsia="Arial" w:hAnsi="Arial"/>
          <w:b/>
          <w:bCs/>
          <w:color w:val="0066CC"/>
          <w:sz w:val="28"/>
          <w:szCs w:val="28"/>
        </w:rPr>
        <w:t xml:space="preserve">9.2 Cycle Time Compression Waterfall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Optimization Layer</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Before (Days)</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After (Days)</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Reduction</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Cumulative</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Baseline (Industry Average)</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90–120</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90–120</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90–120 days</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 BPMN Workflow Automation</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90–120</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65–85</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25–35 days</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65–85 days</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 Front-Loaded Knowledge Capture</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65–85</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50–65</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15–20 days</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50–65 days</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 AI Agent Swarm Due Diligence</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50–65</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40–55</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8–12 days</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40–55 days</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 Risk-Tiered Governance Routing</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40–55</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35–50</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3–5 days</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35–50 days</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 In-Sprint Compliance and Policy-as-Code</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35–50</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29–45</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3–5 days (rework avoided)</w:t>
            </w:r>
          </w:p>
        </w:tc>
        <w:tc>
          <w:tcPr>
            <w:tcW w:type="dxa" w:w="189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29–45 days</w:t>
            </w:r>
          </w:p>
        </w:tc>
      </w:tr>
      <w:tr>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 OPTIMIZED</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90–120</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29–45</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61–75 days</w:t>
            </w:r>
          </w:p>
        </w:tc>
        <w:tc>
          <w:tcPr>
            <w:tcW w:type="dxa" w:w="189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18"/>
                <w:szCs w:val="18"/>
              </w:rPr>
              <w:t xml:space="preserve">68–75% reduction</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9.3 Service Level Agreement Framework</w:t>
      </w:r>
    </w:p>
    <w:p>
      <w:pPr>
        <w:spacing w:after="120"/>
        <w:jc w:val="left"/>
      </w:pPr>
      <w:r>
        <w:rPr>
          <w:rFonts w:ascii="Arial" w:cs="Arial" w:eastAsia="Arial" w:hAnsi="Arial"/>
          <w:b w:val="false"/>
          <w:bCs w:val="false"/>
          <w:i w:val="false"/>
          <w:iCs w:val="false"/>
          <w:color w:val="333333"/>
          <w:sz w:val="22"/>
          <w:szCs w:val="22"/>
        </w:rPr>
        <w:t xml:space="preserve">The following SLA framework establishes measurable targets at the functional, phase, and overall lifecycle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SLA Level</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2520"/>
            <w:tcBorders>
              <w:top w:val="single" w:color="BBBBBB" w:sz="1"/>
              <w:left w:val="single" w:color="BBBBBB" w:sz="1"/>
              <w:bottom w:val="single" w:color="BBBBBB" w:sz="1"/>
              <w:right w:val="single" w:color="BBBBBB" w:sz="1"/>
            </w:tcBorders>
            <w:shd w:fill="003366"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Overall Lifecycle (Standard Risk)</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End-to-end from intake to go-live</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35–50 business days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Calendar days from intake submission to production cutover</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Overall Lifecycle (High Risk)</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End-to-end from intake to go-live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CC6600"/>
                <w:sz w:val="18"/>
                <w:szCs w:val="18"/>
              </w:rPr>
              <w:t xml:space="preserve">46–74 business days</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Calendar days from intake submission to production cutover</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Overall Lifecycle (Minimal Risk)</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End-to-end from intake to go-live</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13.5–23 business days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Calendar days from intake submission to production cutover</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Phase Gate Compliance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of phases completing within SLA</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&gt; 90%</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Monthly dashboard reporting per phase</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Automation Utilization</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of tasks using automation (Full or Partial)</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&gt; 60%</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Automated task count / total task count per initiative</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First-Pass Approval Rate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of initiatives approved without rework at governance gate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&gt; 80%</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 on first submission / total submissions</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Evidence Collection Timeliness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of evidence items collected by end of Phase 2 (front-loaded)</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&gt; 70%</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Evidence items received by Phase 2 close / total required items</w:t>
            </w:r>
          </w:p>
        </w:tc>
      </w:tr>
      <w:tr>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bCs/>
                <w:color w:val="333333"/>
                <w:sz w:val="18"/>
                <w:szCs w:val="18"/>
              </w:rPr>
              <w:t xml:space="preserve">Vendor Reassessment Compliance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of vendors reassessed within required cadence</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00994D"/>
                <w:sz w:val="18"/>
                <w:szCs w:val="18"/>
              </w:rPr>
              <w:t xml:space="preserve">100%</w:t>
            </w:r>
          </w:p>
        </w:tc>
        <w:tc>
          <w:tcPr>
            <w:tcW w:type="dxa" w:w="252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Completed reassessments / due reassessments per period</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0066CC"/>
          <w:sz w:val="28"/>
          <w:szCs w:val="28"/>
        </w:rPr>
        <w:t xml:space="preserve">9.4 Continuous Improvement and Process Optimization</w:t>
      </w:r>
    </w:p>
    <w:p>
      <w:pPr>
        <w:spacing w:after="120"/>
        <w:jc w:val="left"/>
      </w:pPr>
      <w:r>
        <w:rPr>
          <w:rFonts w:ascii="Arial" w:cs="Arial" w:eastAsia="Arial" w:hAnsi="Arial"/>
          <w:b w:val="false"/>
          <w:bCs w:val="false"/>
          <w:i w:val="false"/>
          <w:iCs w:val="false"/>
          <w:color w:val="333333"/>
          <w:sz w:val="22"/>
          <w:szCs w:val="22"/>
        </w:rPr>
        <w:t xml:space="preserve">The integrated workflow is designed as a self-improving system. Process mining and analytics provide ongoing visibility into actual vs. target cycle times, enabling data-driven process optimization. Key improvement mechanisms include:</w:t>
      </w:r>
    </w:p>
    <w:p>
      <w:pPr>
        <w:spacing w:after="120"/>
      </w:pPr>
      <w:r>
        <w:rPr>
          <w:rFonts w:ascii="Arial" w:cs="Arial" w:eastAsia="Arial" w:hAnsi="Arial"/>
          <w:b/>
          <w:bCs/>
          <w:color w:val="333333"/>
          <w:sz w:val="22"/>
          <w:szCs w:val="22"/>
        </w:rPr>
        <w:t xml:space="preserve">Process Mining: </w:t>
      </w:r>
      <w:r>
        <w:rPr>
          <w:rFonts w:ascii="Arial" w:cs="Arial" w:eastAsia="Arial" w:hAnsi="Arial"/>
          <w:color w:val="333333"/>
          <w:sz w:val="22"/>
          <w:szCs w:val="22"/>
        </w:rPr>
        <w:t xml:space="preserve">Automated analysis of BPM execution logs to identify actual bottlenecks, variant paths, and cycle time distributions across all phases.</w:t>
      </w:r>
    </w:p>
    <w:p>
      <w:pPr>
        <w:spacing w:after="120"/>
      </w:pPr>
      <w:r>
        <w:rPr>
          <w:rFonts w:ascii="Arial" w:cs="Arial" w:eastAsia="Arial" w:hAnsi="Arial"/>
          <w:b/>
          <w:bCs/>
          <w:color w:val="333333"/>
          <w:sz w:val="22"/>
          <w:szCs w:val="22"/>
        </w:rPr>
        <w:t xml:space="preserve">SLA Breach Root Cause Analysis: </w:t>
      </w:r>
      <w:r>
        <w:rPr>
          <w:rFonts w:ascii="Arial" w:cs="Arial" w:eastAsia="Arial" w:hAnsi="Arial"/>
          <w:color w:val="333333"/>
          <w:sz w:val="22"/>
          <w:szCs w:val="22"/>
        </w:rPr>
        <w:t xml:space="preserve">When phase SLAs are breached, the system automatically triggers root cause analysis workflows that identify whether the breach was caused by missing information, capacity constraints, or process deficiencies.</w:t>
      </w:r>
    </w:p>
    <w:p>
      <w:pPr>
        <w:spacing w:after="120"/>
      </w:pPr>
      <w:r>
        <w:rPr>
          <w:rFonts w:ascii="Arial" w:cs="Arial" w:eastAsia="Arial" w:hAnsi="Arial"/>
          <w:b/>
          <w:bCs/>
          <w:color w:val="333333"/>
          <w:sz w:val="22"/>
          <w:szCs w:val="22"/>
        </w:rPr>
        <w:t xml:space="preserve">Knowledge Base Enrichment: </w:t>
      </w:r>
      <w:r>
        <w:rPr>
          <w:rFonts w:ascii="Arial" w:cs="Arial" w:eastAsia="Arial" w:hAnsi="Arial"/>
          <w:color w:val="333333"/>
          <w:sz w:val="22"/>
          <w:szCs w:val="22"/>
        </w:rPr>
        <w:t xml:space="preserve">Each completed initiative enriches the deterministic knowledge base, improving pre-population accuracy, risk scoring precision, and agent swarm effectiveness for subsequent initiatives.</w:t>
      </w:r>
    </w:p>
    <w:p>
      <w:pPr>
        <w:spacing w:after="120"/>
      </w:pPr>
      <w:r>
        <w:rPr>
          <w:rFonts w:ascii="Arial" w:cs="Arial" w:eastAsia="Arial" w:hAnsi="Arial"/>
          <w:b/>
          <w:bCs/>
          <w:color w:val="333333"/>
          <w:sz w:val="22"/>
          <w:szCs w:val="22"/>
        </w:rPr>
        <w:t xml:space="preserve">Benchmark Recalibration: </w:t>
      </w:r>
      <w:r>
        <w:rPr>
          <w:rFonts w:ascii="Arial" w:cs="Arial" w:eastAsia="Arial" w:hAnsi="Arial"/>
          <w:color w:val="333333"/>
          <w:sz w:val="22"/>
          <w:szCs w:val="22"/>
        </w:rPr>
        <w:t xml:space="preserve">Quarterly review of actual cycle times against targets, with automated adjustment of SLA expectations based on 90th percentile historical performance.</w:t>
      </w:r>
    </w:p>
    <w:p>
      <w:r>
        <w:br w:type="page"/>
      </w:r>
    </w:p>
    <w:p>
      <w:pPr>
        <w:pStyle w:val="Heading1"/>
        <w:spacing w:after="120" w:before="360"/>
      </w:pPr>
      <w:r>
        <w:rPr>
          <w:rFonts w:ascii="Arial" w:cs="Arial" w:eastAsia="Arial" w:hAnsi="Arial"/>
          <w:b/>
          <w:bCs/>
          <w:color w:val="003366"/>
          <w:sz w:val="32"/>
          <w:szCs w:val="32"/>
        </w:rPr>
        <w:t xml:space="preserve">10. References and Works Cited</w:t>
      </w:r>
    </w:p>
    <w:p>
      <w:pPr>
        <w:spacing w:after="120"/>
        <w:jc w:val="left"/>
      </w:pPr>
      <w:r>
        <w:rPr>
          <w:rFonts w:ascii="Arial" w:cs="Arial" w:eastAsia="Arial" w:hAnsi="Arial"/>
          <w:b w:val="false"/>
          <w:bCs w:val="false"/>
          <w:i w:val="false"/>
          <w:iCs w:val="false"/>
          <w:color w:val="333333"/>
          <w:sz w:val="22"/>
          <w:szCs w:val="22"/>
        </w:rPr>
        <w:t xml:space="preserve">The following sources inform the TPRM framework, regulatory alignment, and best-practice benchmarks incorporated throughout this document:</w:t>
      </w:r>
    </w:p>
    <w:p>
      <w:pPr>
        <w:spacing w:after="120"/>
        <w:jc w:val="left"/>
      </w:pPr>
      <w:r>
        <w:rPr>
          <w:rFonts w:ascii="Arial" w:cs="Arial" w:eastAsia="Arial" w:hAnsi="Arial"/>
          <w:b w:val="false"/>
          <w:bCs w:val="false"/>
          <w:i w:val="false"/>
          <w:iCs w:val="false"/>
          <w:color w:val="333333"/>
          <w:sz w:val="20"/>
          <w:szCs w:val="20"/>
        </w:rPr>
        <w:t xml:space="preserve">1. TPRM Lifecycle Guide with Examples and Framework Integration - UpGuard</w:t>
      </w:r>
    </w:p>
    <w:p>
      <w:pPr>
        <w:spacing w:after="120"/>
        <w:jc w:val="left"/>
      </w:pPr>
      <w:r>
        <w:rPr>
          <w:rFonts w:ascii="Arial" w:cs="Arial" w:eastAsia="Arial" w:hAnsi="Arial"/>
          <w:b w:val="false"/>
          <w:bCs w:val="false"/>
          <w:i w:val="false"/>
          <w:iCs w:val="false"/>
          <w:color w:val="333333"/>
          <w:sz w:val="20"/>
          <w:szCs w:val="20"/>
        </w:rPr>
        <w:t xml:space="preserve">2. Reimagining Third-Party Risk in an Agentic AI World - Ballistic Ventures</w:t>
      </w:r>
    </w:p>
    <w:p>
      <w:pPr>
        <w:spacing w:after="120"/>
        <w:jc w:val="left"/>
      </w:pPr>
      <w:r>
        <w:rPr>
          <w:rFonts w:ascii="Arial" w:cs="Arial" w:eastAsia="Arial" w:hAnsi="Arial"/>
          <w:b w:val="false"/>
          <w:bCs w:val="false"/>
          <w:i w:val="false"/>
          <w:iCs w:val="false"/>
          <w:color w:val="333333"/>
          <w:sz w:val="20"/>
          <w:szCs w:val="20"/>
        </w:rPr>
        <w:t xml:space="preserve">3. Third-Party Risk Management (TPRM): Guide + Checklist - Asher Security</w:t>
      </w:r>
    </w:p>
    <w:p>
      <w:pPr>
        <w:spacing w:after="120"/>
        <w:jc w:val="left"/>
      </w:pPr>
      <w:r>
        <w:rPr>
          <w:rFonts w:ascii="Arial" w:cs="Arial" w:eastAsia="Arial" w:hAnsi="Arial"/>
          <w:b w:val="false"/>
          <w:bCs w:val="false"/>
          <w:i w:val="false"/>
          <w:iCs w:val="false"/>
          <w:color w:val="333333"/>
          <w:sz w:val="20"/>
          <w:szCs w:val="20"/>
        </w:rPr>
        <w:t xml:space="preserve">4. What is Third Party Risk Management? 2025 Complete Guide - Isora GRC</w:t>
      </w:r>
    </w:p>
    <w:p>
      <w:pPr>
        <w:spacing w:after="120"/>
        <w:jc w:val="left"/>
      </w:pPr>
      <w:r>
        <w:rPr>
          <w:rFonts w:ascii="Arial" w:cs="Arial" w:eastAsia="Arial" w:hAnsi="Arial"/>
          <w:b w:val="false"/>
          <w:bCs w:val="false"/>
          <w:i w:val="false"/>
          <w:iCs w:val="false"/>
          <w:color w:val="333333"/>
          <w:sz w:val="20"/>
          <w:szCs w:val="20"/>
        </w:rPr>
        <w:t xml:space="preserve">5. What Is Third-Party Risk Management (TPRM)? A 2025 Guide - Atlan</w:t>
      </w:r>
    </w:p>
    <w:p>
      <w:pPr>
        <w:spacing w:after="120"/>
        <w:jc w:val="left"/>
      </w:pPr>
      <w:r>
        <w:rPr>
          <w:rFonts w:ascii="Arial" w:cs="Arial" w:eastAsia="Arial" w:hAnsi="Arial"/>
          <w:b w:val="false"/>
          <w:bCs w:val="false"/>
          <w:i w:val="false"/>
          <w:iCs w:val="false"/>
          <w:color w:val="333333"/>
          <w:sz w:val="20"/>
          <w:szCs w:val="20"/>
        </w:rPr>
        <w:t xml:space="preserve">6. What is Third-Party Risk Management (TPRM)? - Panorays</w:t>
      </w:r>
    </w:p>
    <w:p>
      <w:pPr>
        <w:spacing w:after="120"/>
        <w:jc w:val="left"/>
      </w:pPr>
      <w:r>
        <w:rPr>
          <w:rFonts w:ascii="Arial" w:cs="Arial" w:eastAsia="Arial" w:hAnsi="Arial"/>
          <w:b w:val="false"/>
          <w:bCs w:val="false"/>
          <w:i w:val="false"/>
          <w:iCs w:val="false"/>
          <w:color w:val="333333"/>
          <w:sz w:val="20"/>
          <w:szCs w:val="20"/>
        </w:rPr>
        <w:t xml:space="preserve">7. Third Party Risk Management: 6-Step Lifecycle and Best Practices - Venn</w:t>
      </w:r>
    </w:p>
    <w:p>
      <w:pPr>
        <w:spacing w:after="120"/>
        <w:jc w:val="left"/>
      </w:pPr>
      <w:r>
        <w:rPr>
          <w:rFonts w:ascii="Arial" w:cs="Arial" w:eastAsia="Arial" w:hAnsi="Arial"/>
          <w:b w:val="false"/>
          <w:bCs w:val="false"/>
          <w:i w:val="false"/>
          <w:iCs w:val="false"/>
          <w:color w:val="333333"/>
          <w:sz w:val="20"/>
          <w:szCs w:val="20"/>
        </w:rPr>
        <w:t xml:space="preserve">8. TPRM Governance: How Companies Strategically Manage Third-Party Risks - KPMG</w:t>
      </w:r>
    </w:p>
    <w:p>
      <w:pPr>
        <w:spacing w:after="120"/>
        <w:jc w:val="left"/>
      </w:pPr>
      <w:r>
        <w:rPr>
          <w:rFonts w:ascii="Arial" w:cs="Arial" w:eastAsia="Arial" w:hAnsi="Arial"/>
          <w:b w:val="false"/>
          <w:bCs w:val="false"/>
          <w:i w:val="false"/>
          <w:iCs w:val="false"/>
          <w:color w:val="333333"/>
          <w:sz w:val="20"/>
          <w:szCs w:val="20"/>
        </w:rPr>
        <w:t xml:space="preserve">9. Third-Party Risk Management Implementation Roadmap: 6-Step Guide for Enterprises - ProcessUnity</w:t>
      </w:r>
    </w:p>
    <w:p>
      <w:pPr>
        <w:spacing w:after="120"/>
        <w:jc w:val="left"/>
      </w:pPr>
      <w:r>
        <w:rPr>
          <w:rFonts w:ascii="Arial" w:cs="Arial" w:eastAsia="Arial" w:hAnsi="Arial"/>
          <w:b w:val="false"/>
          <w:bCs w:val="false"/>
          <w:i w:val="false"/>
          <w:iCs w:val="false"/>
          <w:color w:val="333333"/>
          <w:sz w:val="20"/>
          <w:szCs w:val="20"/>
        </w:rPr>
        <w:t xml:space="preserve">10. Third-Party Risk Management (TPRM): Final Interagency Guidance - KPMG International</w:t>
      </w:r>
    </w:p>
    <w:p>
      <w:pPr>
        <w:spacing w:after="120"/>
        <w:jc w:val="left"/>
      </w:pPr>
      <w:r>
        <w:rPr>
          <w:rFonts w:ascii="Arial" w:cs="Arial" w:eastAsia="Arial" w:hAnsi="Arial"/>
          <w:b w:val="false"/>
          <w:bCs w:val="false"/>
          <w:i w:val="false"/>
          <w:iCs w:val="false"/>
          <w:color w:val="333333"/>
          <w:sz w:val="20"/>
          <w:szCs w:val="20"/>
        </w:rPr>
        <w:t xml:space="preserve">11. The 6 Third-Party Risk Management (TPRM) Lifecycle Phases - Aravo</w:t>
      </w:r>
    </w:p>
    <w:p>
      <w:pPr>
        <w:spacing w:after="120"/>
        <w:jc w:val="left"/>
      </w:pPr>
      <w:r>
        <w:rPr>
          <w:rFonts w:ascii="Arial" w:cs="Arial" w:eastAsia="Arial" w:hAnsi="Arial"/>
          <w:b w:val="false"/>
          <w:bCs w:val="false"/>
          <w:i w:val="false"/>
          <w:iCs w:val="false"/>
          <w:color w:val="333333"/>
          <w:sz w:val="20"/>
          <w:szCs w:val="20"/>
        </w:rPr>
        <w:t xml:space="preserve">12. The Financial Services TPRM Shortcut: 10 Requirements - Whistic</w:t>
      </w:r>
    </w:p>
    <w:p>
      <w:pPr>
        <w:spacing w:after="120"/>
        <w:jc w:val="left"/>
      </w:pPr>
      <w:r>
        <w:rPr>
          <w:rFonts w:ascii="Arial" w:cs="Arial" w:eastAsia="Arial" w:hAnsi="Arial"/>
          <w:b w:val="false"/>
          <w:bCs w:val="false"/>
          <w:i w:val="false"/>
          <w:iCs w:val="false"/>
          <w:color w:val="333333"/>
          <w:sz w:val="20"/>
          <w:szCs w:val="20"/>
        </w:rPr>
        <w:t xml:space="preserve">13. Third-Party Risk Audit Readiness Checklist: 2026 Compliance Guide - Atlas Systems</w:t>
      </w:r>
    </w:p>
    <w:p>
      <w:pPr>
        <w:spacing w:after="120"/>
        <w:jc w:val="left"/>
      </w:pPr>
      <w:r>
        <w:rPr>
          <w:rFonts w:ascii="Arial" w:cs="Arial" w:eastAsia="Arial" w:hAnsi="Arial"/>
          <w:b w:val="false"/>
          <w:bCs w:val="false"/>
          <w:i w:val="false"/>
          <w:iCs w:val="false"/>
          <w:color w:val="333333"/>
          <w:sz w:val="20"/>
          <w:szCs w:val="20"/>
        </w:rPr>
        <w:t xml:space="preserve">14. Interagency Guidance on Third-Party Relationships - Federal Reserve</w:t>
      </w:r>
    </w:p>
    <w:p>
      <w:pPr>
        <w:spacing w:after="120"/>
        <w:jc w:val="left"/>
      </w:pPr>
      <w:r>
        <w:rPr>
          <w:rFonts w:ascii="Arial" w:cs="Arial" w:eastAsia="Arial" w:hAnsi="Arial"/>
          <w:b w:val="false"/>
          <w:bCs w:val="false"/>
          <w:i w:val="false"/>
          <w:iCs w:val="false"/>
          <w:color w:val="333333"/>
          <w:sz w:val="20"/>
          <w:szCs w:val="20"/>
        </w:rPr>
        <w:t xml:space="preserve">15. Third-Party Risk Management Guideline - Office of the Superintendent of Financial Institutions</w:t>
      </w:r>
    </w:p>
    <w:p>
      <w:pPr>
        <w:spacing w:after="120"/>
        <w:jc w:val="left"/>
      </w:pPr>
      <w:r>
        <w:rPr>
          <w:rFonts w:ascii="Arial" w:cs="Arial" w:eastAsia="Arial" w:hAnsi="Arial"/>
          <w:b w:val="false"/>
          <w:bCs w:val="false"/>
          <w:i w:val="false"/>
          <w:iCs w:val="false"/>
          <w:color w:val="333333"/>
          <w:sz w:val="20"/>
          <w:szCs w:val="20"/>
        </w:rPr>
        <w:t xml:space="preserve">16. From Reactive to Predictive: How AI Is Redefining Third-Party Risk - Exiger</w:t>
      </w:r>
    </w:p>
    <w:p>
      <w:pPr>
        <w:spacing w:after="120"/>
        <w:jc w:val="left"/>
      </w:pPr>
      <w:r>
        <w:rPr>
          <w:rFonts w:ascii="Arial" w:cs="Arial" w:eastAsia="Arial" w:hAnsi="Arial"/>
          <w:b w:val="false"/>
          <w:bCs w:val="false"/>
          <w:i w:val="false"/>
          <w:iCs w:val="false"/>
          <w:color w:val="333333"/>
          <w:sz w:val="20"/>
          <w:szCs w:val="20"/>
        </w:rPr>
        <w:t xml:space="preserve">17. Third-Party Risk Management Guide for 2026 - UpGuard</w:t>
      </w:r>
    </w:p>
    <w:p>
      <w:pPr>
        <w:spacing w:after="120"/>
        <w:jc w:val="left"/>
      </w:pPr>
      <w:r>
        <w:rPr>
          <w:rFonts w:ascii="Arial" w:cs="Arial" w:eastAsia="Arial" w:hAnsi="Arial"/>
          <w:b w:val="false"/>
          <w:bCs w:val="false"/>
          <w:i w:val="false"/>
          <w:iCs w:val="false"/>
          <w:color w:val="333333"/>
          <w:sz w:val="20"/>
          <w:szCs w:val="20"/>
        </w:rPr>
        <w:t xml:space="preserve">18. Third-Party Risk Management 101: Guiding Principles - AuditBoard</w:t>
      </w:r>
    </w:p>
    <w:p>
      <w:pPr>
        <w:spacing w:after="120"/>
        <w:jc w:val="left"/>
      </w:pPr>
      <w:r>
        <w:rPr>
          <w:rFonts w:ascii="Arial" w:cs="Arial" w:eastAsia="Arial" w:hAnsi="Arial"/>
          <w:b w:val="false"/>
          <w:bCs w:val="false"/>
          <w:i w:val="false"/>
          <w:iCs w:val="false"/>
          <w:color w:val="333333"/>
          <w:sz w:val="20"/>
          <w:szCs w:val="20"/>
        </w:rPr>
        <w:t xml:space="preserve">19. Third-Party Risk Management for AI: A Governance-First Approach - Credo AI</w:t>
      </w:r>
    </w:p>
    <w:p>
      <w:pPr>
        <w:spacing w:after="120"/>
        <w:jc w:val="left"/>
      </w:pPr>
      <w:r>
        <w:rPr>
          <w:rFonts w:ascii="Arial" w:cs="Arial" w:eastAsia="Arial" w:hAnsi="Arial"/>
          <w:b w:val="false"/>
          <w:bCs w:val="false"/>
          <w:i w:val="false"/>
          <w:iCs w:val="false"/>
          <w:color w:val="333333"/>
          <w:sz w:val="20"/>
          <w:szCs w:val="20"/>
        </w:rPr>
        <w:t xml:space="preserve">20. While the Industry Debates Whether to Unify Cybersecurity and AI Governance, VectorCertain Has Already Done It - MEXC</w:t>
      </w:r>
    </w:p>
    <w:p>
      <w:pPr>
        <w:spacing w:after="120"/>
        <w:jc w:val="left"/>
      </w:pPr>
      <w:r>
        <w:rPr>
          <w:rFonts w:ascii="Arial" w:cs="Arial" w:eastAsia="Arial" w:hAnsi="Arial"/>
          <w:b w:val="false"/>
          <w:bCs w:val="false"/>
          <w:i w:val="false"/>
          <w:iCs w:val="false"/>
          <w:color w:val="333333"/>
          <w:sz w:val="20"/>
          <w:szCs w:val="20"/>
        </w:rPr>
        <w:t xml:space="preserve">21. Interagency Guidance on Third-Party Relationships: Risk Management - FDIC Archive</w:t>
      </w:r>
    </w:p>
    <w:p>
      <w:pPr>
        <w:spacing w:after="120"/>
        <w:jc w:val="left"/>
      </w:pPr>
      <w:r>
        <w:rPr>
          <w:rFonts w:ascii="Arial" w:cs="Arial" w:eastAsia="Arial" w:hAnsi="Arial"/>
          <w:b w:val="false"/>
          <w:bCs w:val="false"/>
          <w:i w:val="false"/>
          <w:iCs w:val="false"/>
          <w:color w:val="333333"/>
          <w:sz w:val="20"/>
          <w:szCs w:val="20"/>
        </w:rPr>
        <w:t xml:space="preserve">22. Interagency Guidance on Third-Party Relationships: Risk Management - FDIC.gov</w:t>
      </w:r>
    </w:p>
    <w:p>
      <w:pPr>
        <w:spacing w:after="120"/>
        <w:jc w:val="left"/>
      </w:pPr>
      <w:r>
        <w:rPr>
          <w:rFonts w:ascii="Arial" w:cs="Arial" w:eastAsia="Arial" w:hAnsi="Arial"/>
          <w:b w:val="false"/>
          <w:bCs w:val="false"/>
          <w:i w:val="false"/>
          <w:iCs w:val="false"/>
          <w:color w:val="333333"/>
          <w:sz w:val="20"/>
          <w:szCs w:val="20"/>
        </w:rPr>
        <w:t xml:space="preserve">23. Interagency Guidance for Bank Risk Management of Third-Party Relationships - Hunton</w:t>
      </w:r>
    </w:p>
    <w:p>
      <w:pPr>
        <w:spacing w:after="120"/>
        <w:jc w:val="left"/>
      </w:pPr>
      <w:r>
        <w:rPr>
          <w:rFonts w:ascii="Arial" w:cs="Arial" w:eastAsia="Arial" w:hAnsi="Arial"/>
          <w:b w:val="false"/>
          <w:bCs w:val="false"/>
          <w:i w:val="false"/>
          <w:iCs w:val="false"/>
          <w:color w:val="333333"/>
          <w:sz w:val="20"/>
          <w:szCs w:val="20"/>
        </w:rPr>
        <w:t xml:space="preserve">24. Interagency Guidance for Bank Risk Management of Third-Party Relationships - ICBA.org</w:t>
      </w:r>
    </w:p>
    <w:p>
      <w:pPr>
        <w:spacing w:after="120"/>
        <w:jc w:val="left"/>
      </w:pPr>
      <w:r>
        <w:rPr>
          <w:rFonts w:ascii="Arial" w:cs="Arial" w:eastAsia="Arial" w:hAnsi="Arial"/>
          <w:b w:val="false"/>
          <w:bCs w:val="false"/>
          <w:i w:val="false"/>
          <w:iCs w:val="false"/>
          <w:color w:val="333333"/>
          <w:sz w:val="20"/>
          <w:szCs w:val="20"/>
        </w:rPr>
        <w:t xml:space="preserve">25. Third Party Risk Management 101 - CoreStream GRC</w:t>
      </w:r>
    </w:p>
    <w:p>
      <w:pPr>
        <w:spacing w:after="120"/>
        <w:jc w:val="left"/>
      </w:pPr>
      <w:r>
        <w:rPr>
          <w:rFonts w:ascii="Arial" w:cs="Arial" w:eastAsia="Arial" w:hAnsi="Arial"/>
          <w:b w:val="false"/>
          <w:bCs w:val="false"/>
          <w:i w:val="false"/>
          <w:iCs w:val="false"/>
          <w:color w:val="333333"/>
          <w:sz w:val="20"/>
          <w:szCs w:val="20"/>
        </w:rPr>
        <w:t xml:space="preserve">26. Third-Party Risk Management (TPRM): A Complete Guide - Gartner</w:t>
      </w:r>
    </w:p>
    <w:p>
      <w:pPr>
        <w:spacing w:after="120"/>
        <w:jc w:val="left"/>
      </w:pPr>
      <w:r>
        <w:rPr>
          <w:rFonts w:ascii="Arial" w:cs="Arial" w:eastAsia="Arial" w:hAnsi="Arial"/>
          <w:b w:val="false"/>
          <w:bCs w:val="false"/>
          <w:i w:val="false"/>
          <w:iCs w:val="false"/>
          <w:color w:val="333333"/>
          <w:sz w:val="20"/>
          <w:szCs w:val="20"/>
        </w:rPr>
        <w:t xml:space="preserve">27. The Third-Party Vendor Risk Management Lifecycle: The Definitive Guide - Mitratech</w:t>
      </w:r>
    </w:p>
    <w:p>
      <w:pPr>
        <w:spacing w:after="120"/>
        <w:jc w:val="left"/>
      </w:pPr>
      <w:r>
        <w:rPr>
          <w:rFonts w:ascii="Arial" w:cs="Arial" w:eastAsia="Arial" w:hAnsi="Arial"/>
          <w:b w:val="false"/>
          <w:bCs w:val="false"/>
          <w:i w:val="false"/>
          <w:iCs w:val="false"/>
          <w:color w:val="333333"/>
          <w:sz w:val="20"/>
          <w:szCs w:val="20"/>
        </w:rPr>
        <w:t xml:space="preserve">28. TPRM Framework - Key Components and Best Practices - Certa</w:t>
      </w:r>
    </w:p>
    <w:p>
      <w:pPr>
        <w:spacing w:after="120"/>
        <w:jc w:val="left"/>
      </w:pPr>
      <w:r>
        <w:rPr>
          <w:rFonts w:ascii="Arial" w:cs="Arial" w:eastAsia="Arial" w:hAnsi="Arial"/>
          <w:b w:val="false"/>
          <w:bCs w:val="false"/>
          <w:i w:val="false"/>
          <w:iCs w:val="false"/>
          <w:color w:val="333333"/>
          <w:sz w:val="20"/>
          <w:szCs w:val="20"/>
        </w:rPr>
        <w:t xml:space="preserve">29. TPRM Lifecycle: 7 Key Phases and the Best Practices for Each - Vanta</w:t>
      </w:r>
    </w:p>
    <w:p>
      <w:pPr>
        <w:spacing w:after="120"/>
        <w:jc w:val="left"/>
      </w:pPr>
      <w:r>
        <w:rPr>
          <w:rFonts w:ascii="Arial" w:cs="Arial" w:eastAsia="Arial" w:hAnsi="Arial"/>
          <w:b w:val="false"/>
          <w:bCs w:val="false"/>
          <w:i w:val="false"/>
          <w:iCs w:val="false"/>
          <w:color w:val="333333"/>
          <w:sz w:val="20"/>
          <w:szCs w:val="20"/>
        </w:rPr>
        <w:t xml:space="preserve">30. Vendor Security Questionnaire (VRAQ) Best Practices - Safe Security</w:t>
      </w:r>
    </w:p>
    <w:p>
      <w:pPr>
        <w:spacing w:after="120"/>
        <w:jc w:val="left"/>
      </w:pPr>
      <w:r>
        <w:rPr>
          <w:rFonts w:ascii="Arial" w:cs="Arial" w:eastAsia="Arial" w:hAnsi="Arial"/>
          <w:b w:val="false"/>
          <w:bCs w:val="false"/>
          <w:i w:val="false"/>
          <w:iCs w:val="false"/>
          <w:color w:val="333333"/>
          <w:sz w:val="20"/>
          <w:szCs w:val="20"/>
        </w:rPr>
        <w:t xml:space="preserve">31. A Complete Guide to Third Party Risk Management (TPRM) - BitSight Technologies</w:t>
      </w:r>
    </w:p>
    <w:p>
      <w:pPr>
        <w:spacing w:after="120"/>
        <w:jc w:val="left"/>
      </w:pPr>
      <w:r>
        <w:rPr>
          <w:rFonts w:ascii="Arial" w:cs="Arial" w:eastAsia="Arial" w:hAnsi="Arial"/>
          <w:b w:val="false"/>
          <w:bCs w:val="false"/>
          <w:i w:val="false"/>
          <w:iCs w:val="false"/>
          <w:color w:val="333333"/>
          <w:sz w:val="20"/>
          <w:szCs w:val="20"/>
        </w:rPr>
        <w:t xml:space="preserve">32. Understanding TPRM Compliance: A Comprehensive Guide - Mitratech</w:t>
      </w:r>
    </w:p>
    <w:p>
      <w:pPr>
        <w:spacing w:after="120"/>
        <w:jc w:val="left"/>
      </w:pPr>
      <w:r>
        <w:rPr>
          <w:rFonts w:ascii="Arial" w:cs="Arial" w:eastAsia="Arial" w:hAnsi="Arial"/>
          <w:b w:val="false"/>
          <w:bCs w:val="false"/>
          <w:i w:val="false"/>
          <w:iCs w:val="false"/>
          <w:color w:val="333333"/>
          <w:sz w:val="20"/>
          <w:szCs w:val="20"/>
        </w:rPr>
        <w:t xml:space="preserve">33. Financial Services AI Risk Management Framework: Operationalizing the 230 Control Objectives - Lowenstein Sandler LLP</w:t>
      </w:r>
    </w:p>
    <w:p>
      <w:pPr>
        <w:spacing w:after="120"/>
        <w:jc w:val="left"/>
      </w:pPr>
      <w:r>
        <w:rPr>
          <w:rFonts w:ascii="Arial" w:cs="Arial" w:eastAsia="Arial" w:hAnsi="Arial"/>
          <w:b w:val="false"/>
          <w:bCs w:val="false"/>
          <w:i w:val="false"/>
          <w:iCs w:val="false"/>
          <w:color w:val="333333"/>
          <w:sz w:val="20"/>
          <w:szCs w:val="20"/>
        </w:rPr>
        <w:t xml:space="preserve">34. 4 AI Agents, 94% Efficiency Gain: Pioneering Agentic Third-Party Risk - Treasure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tabs>
        <w:tab w:val="right" w:pos="9026"/>
      </w:tabs>
    </w:pPr>
    <w:r>
      <w:rPr>
        <w:rFonts w:ascii="Arial" w:cs="Arial" w:eastAsia="Arial" w:hAnsi="Arial"/>
        <w:color w:val="666666"/>
        <w:sz w:val="16"/>
        <w:szCs w:val="16"/>
      </w:rPr>
      <w:t xml:space="preserve">Enterprise Software Governance v2.0 | Integrated TPRM, AI Governance &amp; PDLC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66C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2026-03-01T23:35:50.606Z</dcterms:created>
  <dcterms:modified xsi:type="dcterms:W3CDTF">2026-03-01T23:35:50.607Z</dcterms:modified>
</cp:coreProperties>
</file>

<file path=docProps/custom.xml><?xml version="1.0" encoding="utf-8"?>
<Properties xmlns="http://schemas.openxmlformats.org/officeDocument/2006/custom-properties" xmlns:vt="http://schemas.openxmlformats.org/officeDocument/2006/docPropsVTypes"/>
</file>