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Evolutionary Resilience: A Comprehensive Framework for Third-Party Risk Management in Financial Ecosystems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financial services landscape is no longer a collection of discrete institutions but a hyper-connected mesh of banks, brokerages, and specialized technology providers. As organizations increasingly outsource core functions—ranging from cloud-native ledger systems and high-frequency trading algorithms to customer-facing artificial intelligence (AI) interfaces—the traditional perimeter of the enterprise has dissolved. This paradigm shift has elevated Third-Party Risk Management (TPRM) from a defensive compliance obligation to a primary driver of strategic resilience and competitive differentiation.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highly regulated corridors of banking and finance, the ability to identify, assess, and mitigate risks across a sprawling supply chain is not merely a matter of security but a requirement for institutional survival.</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Governance Imperative and Organizational RACI Structure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heart of a robust TPRM program is a multi-disciplinary governance structure that aligns risk management activities with the institution’s broader risk appetite and strategic objectives.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Financial institutions typically adopt a "three lines of defense" model, where accountability is distributed across the business, risk functions, and internal audit to ensure no single point of failure in the oversight process.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Legal: Contractual Enforcement and Liability Management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Legal department serves as the architectural foundation of the TPRM lifecycle, ensuring that risk management expectations are codified into enforceable agreements.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Beyond traditional contract drafting, legal experts in the financial sector focus on "Right to Audit" clauses, which grant the institution the authority to conduct on-site inspections or demand independent security assessments from the vendor.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Legal must also navigate the complex waters of cross-border data flows, ensuring that Master Service Agreements (MSAs) include specific Data Processing Addendums (DPAs) that satisfy global privacy mandates like GDPR and CCPA.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Furthermore, legal counsel is instrumental in defining "Step-in Rights," which allow the bank to take temporary control of a service or transition it to a backup provider if the vendor faces significant operational failure.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Cybersecurity: Technical Assurance and Nth-Party Visibility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Cybersecurity function is responsible for the forensic evaluation of a vendor’s digital defenses. In the reimagined TPRM model, this role has shifted from reviewing static security questionnaires to analyzing real-time telemetry and external attack surface data.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Cyber teams evaluate the efficacy of a vendor’s encryption protocols, identity and access management (IAM) strategies, and incident response readiness.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 critical and emerging focus for cyber teams is the "Nth-party" problem, where they must identify and assess the risks introduced not only by their direct vendors but by the vendors’ subcontractors (the fourth and fifth parties) who may have access to the bank’s sensitive data.</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AI Governance: Managing Algorithmic Risk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the proliferation of generative AI and machine learning in financial services, AI Governance has emerged as a distinct and critical pillar of TPRM.</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function ensures that AI-driven services provided by third parties are transparent, explainable, and free from prohibited biases that could lead to discriminatory lending or trading practices.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AI governance teams operationalize frameworks like the Financial Services AI Risk Management Framework (FS AI RMF), which includes 230 control objectives designed to ensure that AI models are robust, reliable, and privacy-enhanced.</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Regulatory, Compliance, and Audit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Compliance and Regulatory teams act as the liaison between the institution and its governing bodies, such as the Office of the Comptroller of the Currency (OCC), the Federal Reserve, and the Federal Deposit Insurance Corporation (FDIC).</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They ensure the TPRM program aligns with the 2023 Interagency Guidance on Third-Party Relationships, which emphasizes that a bank’s responsibility for safety and soundness remains absolute, regardless of whether a service is outsourced.</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Internal Audit provides the final layer of oversight, conducting periodic reviews to verify that the TPRM program is functioning as designed and that a clear, auditable trail exists for every vendor approval and risk acceptance decision.</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Responsibility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Deliverables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Stakeholder Coordination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Legal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Contractual liability and regulatory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MSA, DPA, Right to Audit clauses.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Procurement, Compliance, 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security and data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Penetration tests, SOC 2 reviews, CSM.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Business Owners, Vendors.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Governance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ethics, transparency, and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cards, bias testing reports.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Risk, Legal, Data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Compliance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Adherence to banking regulations.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Regulatory filings, policy updates.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OCC/Fed/FDIC, Audit.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Audit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Independent verification of the program.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Audit reports, remediation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Board of Directors, C-Suite.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Business Owner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performance and business need.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Business cases, SLA monitoring.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Vendor, Procurement, Finance.</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End-to-End TPRM Lifecycle: Excruciating Details of the Workflow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lifecycle of a third-party relationship in a financial institution is an iterative, multi-stage process that begins with strategic planning and concludes with secure offboarding. Each phase requires specific documentation, stakeholder approvals, and risk-based decision-making.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Planning, Strategy, and Risk Appetite Alignment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Before any vendor is engaged, the institution must perform a strategic assessment of the outsourcing need. This involves evaluating whether the activity supports "critical activities"—those whose failure would significantly disrupt operations or harm customers.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Planning includes determining the direct and indirect costs of the relationship, assessing the potential impact on internal employees, and developing a preliminary contingency plan for service transition.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institution’s Board of Directors is typically involved in this phase for high-risk or critical activities, providing oversight and ensuring the arrangement fits within the organization's stated risk tolerance.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Intake, Inventory, and Inherent Risk Scoping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intake process is the "front door" of TPRM. When a business unit identifies a potential vendor, they must complete an intake form that captures the vendor’s identity, the service description, and the types of data to be shared.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data is used to calculate the "Inherent Risk"—the risk posed by the relationship before any controls are applied.</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Organizations use a tiered logic to categorize vendors based on several critical dimensions: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Sensitivity:</w:t>
      </w:r>
      <w:r w:rsidDel="00000000" w:rsidR="00000000" w:rsidRPr="00000000">
        <w:rPr>
          <w:rFonts w:ascii="Google Sans" w:cs="Google Sans" w:eastAsia="Google Sans" w:hAnsi="Google Sans"/>
          <w:rtl w:val="0"/>
        </w:rPr>
        <w:t xml:space="preserve"> Does the vendor have access to Non-Public Personal Information (NPI) or Personally Identifiable Information (PII)?.</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Operational Criticality:</w:t>
      </w:r>
      <w:r w:rsidDel="00000000" w:rsidR="00000000" w:rsidRPr="00000000">
        <w:rPr>
          <w:rFonts w:ascii="Google Sans" w:cs="Google Sans" w:eastAsia="Google Sans" w:hAnsi="Google Sans"/>
          <w:rtl w:val="0"/>
        </w:rPr>
        <w:t xml:space="preserve"> If the service were to fail for 24 hours, would the bank's core operations stop?.</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Impact:</w:t>
      </w:r>
      <w:r w:rsidDel="00000000" w:rsidR="00000000" w:rsidRPr="00000000">
        <w:rPr>
          <w:rFonts w:ascii="Google Sans" w:cs="Google Sans" w:eastAsia="Google Sans" w:hAnsi="Google Sans"/>
          <w:rtl w:val="0"/>
        </w:rPr>
        <w:t xml:space="preserve"> What is the total contract value and the potential cost of a service failure?.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Geographic Exposure:</w:t>
      </w:r>
      <w:r w:rsidDel="00000000" w:rsidR="00000000" w:rsidRPr="00000000">
        <w:rPr>
          <w:rFonts w:ascii="Google Sans" w:cs="Google Sans" w:eastAsia="Google Sans" w:hAnsi="Google Sans"/>
          <w:rtl w:val="0"/>
        </w:rPr>
        <w:t xml:space="preserve"> Is the vendor or its data centers located in high-risk or sanctioned regions?.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Due Diligence and Comprehensive Evaluation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Due diligence in financial services is far more rigorous than a simple background check. It is a systematic inquiry into the vendor's financial, operational, and technical health.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technology and services work, organizations specifically look for:</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Cybersecurity Posture:</w:t>
      </w:r>
      <w:r w:rsidDel="00000000" w:rsidR="00000000" w:rsidRPr="00000000">
        <w:rPr>
          <w:rFonts w:ascii="Google Sans" w:cs="Google Sans" w:eastAsia="Google Sans" w:hAnsi="Google Sans"/>
          <w:rtl w:val="0"/>
        </w:rPr>
        <w:t xml:space="preserve"> Evaluation of endpoint protection, patch management, and vulnerability disclosure programs.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Stability:</w:t>
      </w:r>
      <w:r w:rsidDel="00000000" w:rsidR="00000000" w:rsidRPr="00000000">
        <w:rPr>
          <w:rFonts w:ascii="Google Sans" w:cs="Google Sans" w:eastAsia="Google Sans" w:hAnsi="Google Sans"/>
          <w:rtl w:val="0"/>
        </w:rPr>
        <w:t xml:space="preserve"> Review of audited financial statements, Dun &amp; Bradstreet reports, and debt-to-equity ratios to ensure the vendor is not at risk of bankruptcy.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Business Continuity and Disaster Recovery (BCDR):</w:t>
      </w:r>
      <w:r w:rsidDel="00000000" w:rsidR="00000000" w:rsidRPr="00000000">
        <w:rPr>
          <w:rFonts w:ascii="Google Sans" w:cs="Google Sans" w:eastAsia="Google Sans" w:hAnsi="Google Sans"/>
          <w:rtl w:val="0"/>
        </w:rPr>
        <w:t xml:space="preserve"> Verification of Recovery Time Objectives (RTO) and Recovery Point Objectives (RPO), alongside evidence of recent BCDR testing.</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Compliance History:</w:t>
      </w:r>
      <w:r w:rsidDel="00000000" w:rsidR="00000000" w:rsidRPr="00000000">
        <w:rPr>
          <w:rFonts w:ascii="Google Sans" w:cs="Google Sans" w:eastAsia="Google Sans" w:hAnsi="Google Sans"/>
          <w:rtl w:val="0"/>
        </w:rPr>
        <w:t xml:space="preserve"> Searching for past regulatory fines, legal proceedings, or adverse media related to ethics, bribery (FCPA), or labor violations.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Contract Negotiation and Control Integration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due diligence is complete, the findings must be integrated into the contract. If gaps were identified—such as a lack of encryption on backups—the contract must include a "Remediation Schedule" that mandates these fixes before the service goes live.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Contracts in the financial sector are increasingly standardized to include clauses required by regulations like DORA or the 2023 Interagency Guidance.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include mandatory breach notification timelines, specific data residency requirements, and the right for the bank to terminate the relationship for "convenience" or for "cause" related to security failures.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5: Onboarding and Service Implementation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Onboarding is the operationalization of the contract. This phase involves setting up Identity and Access Management (IAM) controls, where the vendor is granted "least-privilege" access to the bank's systems.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For technology services, this includes establishing secure VPN tunnels or API integrations that are continuously monitored.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stage also includes training for vendor personnel on the bank's security policies and code of conduct.</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6: Continuous Monitoring and Real-Time Surveillance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Mature TPRM programs have abandoned the "annual review" in favor of continuous monitoring.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Using automated platforms, organizations track:</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Security Ratings:</w:t>
      </w:r>
      <w:r w:rsidDel="00000000" w:rsidR="00000000" w:rsidRPr="00000000">
        <w:rPr>
          <w:rFonts w:ascii="Google Sans" w:cs="Google Sans" w:eastAsia="Google Sans" w:hAnsi="Google Sans"/>
          <w:rtl w:val="0"/>
        </w:rPr>
        <w:t xml:space="preserve"> Real-time scores from providers like BitSight or SecurityScorecard that reflect the vendor's external security posture.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Adverse Media and Sanctions:</w:t>
      </w:r>
      <w:r w:rsidDel="00000000" w:rsidR="00000000" w:rsidRPr="00000000">
        <w:rPr>
          <w:rFonts w:ascii="Google Sans" w:cs="Google Sans" w:eastAsia="Google Sans" w:hAnsi="Google Sans"/>
          <w:rtl w:val="0"/>
        </w:rPr>
        <w:t xml:space="preserve"> Constant scanning of news and global watchlists to detect emerging reputational or legal risks.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SLA Performance:</w:t>
      </w:r>
      <w:r w:rsidDel="00000000" w:rsidR="00000000" w:rsidRPr="00000000">
        <w:rPr>
          <w:rFonts w:ascii="Google Sans" w:cs="Google Sans" w:eastAsia="Google Sans" w:hAnsi="Google Sans"/>
          <w:rtl w:val="0"/>
        </w:rPr>
        <w:t xml:space="preserve"> Automated dashboards that track uptime, responsiveness, and service quality against contractual benchmarks.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7: Issue Resolution and Remediation Protocols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an issue is identified—whether through monitoring or a formal audit—it must be resolved through a structured protocol.</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Initial Intake and Assignment:</w:t>
      </w:r>
      <w:r w:rsidDel="00000000" w:rsidR="00000000" w:rsidRPr="00000000">
        <w:rPr>
          <w:rFonts w:ascii="Google Sans" w:cs="Google Sans" w:eastAsia="Google Sans" w:hAnsi="Google Sans"/>
          <w:rtl w:val="0"/>
        </w:rPr>
        <w:t xml:space="preserve"> The issue is logged in the GRC system and assigned to a remediation owner at both the bank and the vendor.</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Severity Rating:</w:t>
      </w:r>
      <w:r w:rsidDel="00000000" w:rsidR="00000000" w:rsidRPr="00000000">
        <w:rPr>
          <w:rFonts w:ascii="Google Sans" w:cs="Google Sans" w:eastAsia="Google Sans" w:hAnsi="Google Sans"/>
          <w:rtl w:val="0"/>
        </w:rPr>
        <w:t xml:space="preserve"> Issues are categorized as Critical (requires immediate action), High (30-day resolution), Medium (90-day resolution), or Low (tracked for next review).</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Verification of Evidence:</w:t>
      </w:r>
      <w:r w:rsidDel="00000000" w:rsidR="00000000" w:rsidRPr="00000000">
        <w:rPr>
          <w:rFonts w:ascii="Google Sans" w:cs="Google Sans" w:eastAsia="Google Sans" w:hAnsi="Google Sans"/>
          <w:rtl w:val="0"/>
        </w:rPr>
        <w:t xml:space="preserve"> The vendor must provide verifiable proof that the gap is closed, such as a configuration log or an updated policy document.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Escalation and Risk Acceptance:</w:t>
      </w:r>
      <w:r w:rsidDel="00000000" w:rsidR="00000000" w:rsidRPr="00000000">
        <w:rPr>
          <w:rFonts w:ascii="Google Sans" w:cs="Google Sans" w:eastAsia="Google Sans" w:hAnsi="Google Sans"/>
          <w:rtl w:val="0"/>
        </w:rPr>
        <w:t xml:space="preserve"> If the vendor cannot fix the issue, the risk must be formally "accepted" by a high-level executive, with documented compensating controls.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8: Renewal, Termination, and Secure Offboarding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end of a contract, the organization must decide whether to renew based on the vendor’s performance and current risk profile.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If terminating, a rigorous offboarding process is required to ensure no residual risk remains.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includes the revocation of all physical and logical access, the return or certified destruction of all data, and the settlement of final financial obligations only after security checklists are signed.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Criteria for Success and Failure: The Evaluator's Perspective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What are organizations specifically looking for when they evaluate a technology provider? Success in the TPRM process is not just about having a "clean" audit; it's about demonstrating a culture of proactive risk management and transparency.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Typical Criteria for Success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Verifiable Certifications:</w:t>
      </w:r>
      <w:r w:rsidDel="00000000" w:rsidR="00000000" w:rsidRPr="00000000">
        <w:rPr>
          <w:rFonts w:ascii="Google Sans" w:cs="Google Sans" w:eastAsia="Google Sans" w:hAnsi="Google Sans"/>
          <w:rtl w:val="0"/>
        </w:rPr>
        <w:t xml:space="preserve"> Possession of recent SOC 2 Type II reports with no significant exceptions and ISO 27001 certifications.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Transparency in Data Lineage:</w:t>
      </w:r>
      <w:r w:rsidDel="00000000" w:rsidR="00000000" w:rsidRPr="00000000">
        <w:rPr>
          <w:rFonts w:ascii="Google Sans" w:cs="Google Sans" w:eastAsia="Google Sans" w:hAnsi="Google Sans"/>
          <w:rtl w:val="0"/>
        </w:rPr>
        <w:t xml:space="preserve"> The ability to clearly articulate where the bank’s data is stored, how it is isolated, and which fourth parties have access to it.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Proven Resilience:</w:t>
      </w:r>
      <w:r w:rsidDel="00000000" w:rsidR="00000000" w:rsidRPr="00000000">
        <w:rPr>
          <w:rFonts w:ascii="Google Sans" w:cs="Google Sans" w:eastAsia="Google Sans" w:hAnsi="Google Sans"/>
          <w:rtl w:val="0"/>
        </w:rPr>
        <w:t xml:space="preserve"> Evidence of successful failover testing and a robust Incident Response plan that has been recently exercised.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Financial Health:</w:t>
      </w:r>
      <w:r w:rsidDel="00000000" w:rsidR="00000000" w:rsidRPr="00000000">
        <w:rPr>
          <w:rFonts w:ascii="Google Sans" w:cs="Google Sans" w:eastAsia="Google Sans" w:hAnsi="Google Sans"/>
          <w:rtl w:val="0"/>
        </w:rPr>
        <w:t xml:space="preserve"> A strong balance sheet that suggests the vendor will remain a stable partner for the duration of the contract.</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Typical Criteria for Failure (The "No-Go" Decisions)</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Lack of MFA or Critical Security Gaps:</w:t>
      </w:r>
      <w:r w:rsidDel="00000000" w:rsidR="00000000" w:rsidRPr="00000000">
        <w:rPr>
          <w:rFonts w:ascii="Google Sans" w:cs="Google Sans" w:eastAsia="Google Sans" w:hAnsi="Google Sans"/>
          <w:rtl w:val="0"/>
        </w:rPr>
        <w:t xml:space="preserve"> Refusal to implement basic security hygiene like Multi-Factor Authentication for sensitive access.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Opaque Supply Chain:</w:t>
      </w:r>
      <w:r w:rsidDel="00000000" w:rsidR="00000000" w:rsidRPr="00000000">
        <w:rPr>
          <w:rFonts w:ascii="Google Sans" w:cs="Google Sans" w:eastAsia="Google Sans" w:hAnsi="Google Sans"/>
          <w:rtl w:val="0"/>
        </w:rPr>
        <w:t xml:space="preserve"> Inability to provide a list of subcontractors or provide visibility into the vendor’s own risk management practices.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Poor Regulatory Alignment:</w:t>
      </w:r>
      <w:r w:rsidDel="00000000" w:rsidR="00000000" w:rsidRPr="00000000">
        <w:rPr>
          <w:rFonts w:ascii="Google Sans" w:cs="Google Sans" w:eastAsia="Google Sans" w:hAnsi="Google Sans"/>
          <w:rtl w:val="0"/>
        </w:rPr>
        <w:t xml:space="preserve"> Failure to meet specific industry mandates, such as the inability to provide DORA-compliant reporting for European operations.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Unresolved High-Risk Findings:</w:t>
      </w:r>
      <w:r w:rsidDel="00000000" w:rsidR="00000000" w:rsidRPr="00000000">
        <w:rPr>
          <w:rFonts w:ascii="Google Sans" w:cs="Google Sans" w:eastAsia="Google Sans" w:hAnsi="Google Sans"/>
          <w:rtl w:val="0"/>
        </w:rPr>
        <w:t xml:space="preserve"> A history of ignoring security vulnerabilities or failing to close findings from previous assessments.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Industry Standards and Published Frameworks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financial services sector relies on a hierarchy of standards to normalize risk conversations across thousands of vendors. These standards provide a common language for evaluation and compliance.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Broad Cybersecurity and Operational Standards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NIST Cybersecurity Framework (CSF) v2.0:</w:t>
      </w:r>
      <w:r w:rsidDel="00000000" w:rsidR="00000000" w:rsidRPr="00000000">
        <w:rPr>
          <w:rFonts w:ascii="Google Sans" w:cs="Google Sans" w:eastAsia="Google Sans" w:hAnsi="Google Sans"/>
          <w:rtl w:val="0"/>
        </w:rPr>
        <w:t xml:space="preserve"> Organized around Identify, Protect, Detect, Respond, Recover, and the new "Govern" function, which is central to TPRM.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ISO/IEC 27001 and 27036:</w:t>
      </w:r>
      <w:r w:rsidDel="00000000" w:rsidR="00000000" w:rsidRPr="00000000">
        <w:rPr>
          <w:rFonts w:ascii="Google Sans" w:cs="Google Sans" w:eastAsia="Google Sans" w:hAnsi="Google Sans"/>
          <w:rtl w:val="0"/>
        </w:rPr>
        <w:t xml:space="preserve"> Global standards for information security management systems and security for supplier relationships.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SOC 2 (System and Organization Controls):</w:t>
      </w:r>
      <w:r w:rsidDel="00000000" w:rsidR="00000000" w:rsidRPr="00000000">
        <w:rPr>
          <w:rFonts w:ascii="Google Sans" w:cs="Google Sans" w:eastAsia="Google Sans" w:hAnsi="Google Sans"/>
          <w:rtl w:val="0"/>
        </w:rPr>
        <w:t xml:space="preserve"> Particularly Type II reports, which provide independent assurance that security controls were not just designed but were effective over a testing period.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Sector-Specific Mandates</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OCC Bulletin 2013-29 and the 2023 Interagency Guidance:</w:t>
      </w:r>
      <w:r w:rsidDel="00000000" w:rsidR="00000000" w:rsidRPr="00000000">
        <w:rPr>
          <w:rFonts w:ascii="Google Sans" w:cs="Google Sans" w:eastAsia="Google Sans" w:hAnsi="Google Sans"/>
          <w:rtl w:val="0"/>
        </w:rPr>
        <w:t xml:space="preserve"> The primary US regulatory pillars for bank-third party relationships.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DORA (Digital Operational Resilience Act):</w:t>
      </w:r>
      <w:r w:rsidDel="00000000" w:rsidR="00000000" w:rsidRPr="00000000">
        <w:rPr>
          <w:rFonts w:ascii="Google Sans" w:cs="Google Sans" w:eastAsia="Google Sans" w:hAnsi="Google Sans"/>
          <w:rtl w:val="0"/>
        </w:rPr>
        <w:t xml:space="preserve"> An EU regulation that mandates strict IT risk management, incident reporting, and digital testing for financial institutions and their critical ICT providers.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FFIEC Cybersecurity Assessment Tool:</w:t>
      </w:r>
      <w:r w:rsidDel="00000000" w:rsidR="00000000" w:rsidRPr="00000000">
        <w:rPr>
          <w:rFonts w:ascii="Google Sans" w:cs="Google Sans" w:eastAsia="Google Sans" w:hAnsi="Google Sans"/>
          <w:rtl w:val="0"/>
        </w:rPr>
        <w:t xml:space="preserve"> Used by US regulators to evaluate the maturity of a bank’s security program, including its third-party oversight.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Standardized Questionnaires and Toolkits</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SIG (Standardized Information Gathering):</w:t>
      </w:r>
      <w:r w:rsidDel="00000000" w:rsidR="00000000" w:rsidRPr="00000000">
        <w:rPr>
          <w:rFonts w:ascii="Google Sans" w:cs="Google Sans" w:eastAsia="Google Sans" w:hAnsi="Google Sans"/>
          <w:rtl w:val="0"/>
        </w:rPr>
        <w:t xml:space="preserve"> Published by Shared Assessments, this is the most common questionnaire used by banks to assess vendors across multiple risk domains.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CAIQ (Consensus Assessments Initiative Questionnaire):</w:t>
      </w:r>
      <w:r w:rsidDel="00000000" w:rsidR="00000000" w:rsidRPr="00000000">
        <w:rPr>
          <w:rFonts w:ascii="Google Sans" w:cs="Google Sans" w:eastAsia="Google Sans" w:hAnsi="Google Sans"/>
          <w:rtl w:val="0"/>
        </w:rPr>
        <w:t xml:space="preserve"> Developed by the Cloud Security Alliance (CSA) specifically for cloud providers.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HECVAT:</w:t>
      </w:r>
      <w:r w:rsidDel="00000000" w:rsidR="00000000" w:rsidRPr="00000000">
        <w:rPr>
          <w:rFonts w:ascii="Google Sans" w:cs="Google Sans" w:eastAsia="Google Sans" w:hAnsi="Google Sans"/>
          <w:rtl w:val="0"/>
        </w:rPr>
        <w:t xml:space="preserve"> A toolkit for higher education that is occasionally used in specialized research or fintech partnerships.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Reimagining TPRM: Acceleration Through Systems and AI Agents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Traditional TPRM is often a "velocity killer," with onboarding cycles stretching from three to six months.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Reimagining this process involves shifting from "checkbox compliance" to "automated intelligence".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Trust Centers in Accelerating Onboarding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of the traditional "send and receive" model for questionnaires, vendors are adopting </w:t>
      </w:r>
      <w:r w:rsidDel="00000000" w:rsidR="00000000" w:rsidRPr="00000000">
        <w:rPr>
          <w:rFonts w:ascii="Google Sans" w:cs="Google Sans" w:eastAsia="Google Sans" w:hAnsi="Google Sans"/>
          <w:b w:val="1"/>
          <w:bCs w:val="1"/>
          <w:rtl w:val="0"/>
        </w:rPr>
        <w:t xml:space="preserve">Trust Centers</w:t>
      </w:r>
      <w:r w:rsidDel="00000000" w:rsidR="00000000" w:rsidRPr="00000000">
        <w:rPr>
          <w:rFonts w:ascii="Google Sans" w:cs="Google Sans" w:eastAsia="Google Sans" w:hAnsi="Google Sans"/>
          <w:rtl w:val="0"/>
        </w:rPr>
        <w:t xml:space="preserve">. A Trust Center is a real-time portal where a vendor proactively shares its security documentation, live control monitoring, and audit reports.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Self-Service Due Diligence:</w:t>
      </w:r>
      <w:r w:rsidDel="00000000" w:rsidR="00000000" w:rsidRPr="00000000">
        <w:rPr>
          <w:rFonts w:ascii="Google Sans" w:cs="Google Sans" w:eastAsia="Google Sans" w:hAnsi="Google Sans"/>
          <w:rtl w:val="0"/>
        </w:rPr>
        <w:t xml:space="preserve"> Prospective buyers can access SOC 2 reports and certifications instantly after an automated NDA is signed.</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Real-Time Posture:</w:t>
      </w:r>
      <w:r w:rsidDel="00000000" w:rsidR="00000000" w:rsidRPr="00000000">
        <w:rPr>
          <w:rFonts w:ascii="Google Sans" w:cs="Google Sans" w:eastAsia="Google Sans" w:hAnsi="Google Sans"/>
          <w:rtl w:val="0"/>
        </w:rPr>
        <w:t xml:space="preserve"> Unlike a static annual questionnaire, a Trust Center can show that MFA is active and patching is up-to-date </w:t>
      </w:r>
      <w:r w:rsidDel="00000000" w:rsidR="00000000" w:rsidRPr="00000000">
        <w:rPr>
          <w:rFonts w:ascii="Google Sans" w:cs="Google Sans" w:eastAsia="Google Sans" w:hAnsi="Google Sans"/>
          <w:i w:val="1"/>
          <w:iCs w:val="1"/>
          <w:rtl w:val="0"/>
        </w:rPr>
        <w:t xml:space="preserve">right now</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Agentic TPRM: The New Workforce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significant shift in TPRM is the deployment of </w:t>
      </w:r>
      <w:r w:rsidDel="00000000" w:rsidR="00000000" w:rsidRPr="00000000">
        <w:rPr>
          <w:rFonts w:ascii="Google Sans" w:cs="Google Sans" w:eastAsia="Google Sans" w:hAnsi="Google Sans"/>
          <w:b w:val="1"/>
          <w:bCs w:val="1"/>
          <w:rtl w:val="0"/>
        </w:rPr>
        <w:t xml:space="preserve">AI Agents</w:t>
      </w:r>
      <w:r w:rsidDel="00000000" w:rsidR="00000000" w:rsidRPr="00000000">
        <w:rPr>
          <w:rFonts w:ascii="Google Sans" w:cs="Google Sans" w:eastAsia="Google Sans" w:hAnsi="Google Sans"/>
          <w:rtl w:val="0"/>
        </w:rPr>
        <w:t xml:space="preserve"> to handle the manual burden of document review and risk scoring.</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Document Ingestion Agents:</w:t>
      </w:r>
      <w:r w:rsidDel="00000000" w:rsidR="00000000" w:rsidRPr="00000000">
        <w:rPr>
          <w:rFonts w:ascii="Google Sans" w:cs="Google Sans" w:eastAsia="Google Sans" w:hAnsi="Google Sans"/>
          <w:rtl w:val="0"/>
        </w:rPr>
        <w:t xml:space="preserve"> These agents use Natural Language Processing (NLP) to read 100-page SOC 2 reports or penetration tests. They don't just summarize; they extract specific data points, identify failed controls, and cross-reference them against the bank’s internal standards.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Smart Response Agents:</w:t>
      </w:r>
      <w:r w:rsidDel="00000000" w:rsidR="00000000" w:rsidRPr="00000000">
        <w:rPr>
          <w:rFonts w:ascii="Google Sans" w:cs="Google Sans" w:eastAsia="Google Sans" w:hAnsi="Google Sans"/>
          <w:rtl w:val="0"/>
        </w:rPr>
        <w:t xml:space="preserve"> For vendors, AI agents can pre-fill security questionnaires by pulling answers from a knowledge base of previous responses and internal policies, reducing "questionnaire fatigue".</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Risk Scoring Agents:</w:t>
      </w:r>
      <w:r w:rsidDel="00000000" w:rsidR="00000000" w:rsidRPr="00000000">
        <w:rPr>
          <w:rFonts w:ascii="Google Sans" w:cs="Google Sans" w:eastAsia="Google Sans" w:hAnsi="Google Sans"/>
          <w:rtl w:val="0"/>
        </w:rPr>
        <w:t xml:space="preserve"> These agents apply weighted formulas to calculate a vendor's risk score in real-time, adapting as new threat intelligence or financial data becomes available.</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Capability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Traditional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Reimagined Agentic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Acceleration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SOC 2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Manual review (35-60 mins).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Agent Parsing (2 mins).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17x faster.</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Scoring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Spreadsheet formula (monthly).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Weighted LLM (instant).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Dynamic resilience.</w:t>
            </w:r>
            <w:r w:rsidDel="00000000" w:rsidR="00000000" w:rsidRPr="00000000">
              <w:rPr>
                <w:rFonts w:ascii="Google Sans" w:cs="Google Sans" w:eastAsia="Google Sans" w:hAnsi="Google Sans"/>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Questionnaire Prep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Manual entry (weeks).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Auto-fill (hours).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80% automation.</w:t>
            </w:r>
            <w:r w:rsidDel="00000000" w:rsidR="00000000" w:rsidRPr="00000000">
              <w:rPr>
                <w:rFonts w:ascii="Google Sans" w:cs="Google Sans" w:eastAsia="Google Sans" w:hAnsi="Google Sans"/>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Nth Party Mapping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Self-reported lists.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Trade/OSINT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 tiers deep.</w:t>
            </w:r>
            <w:r w:rsidDel="00000000" w:rsidR="00000000" w:rsidRPr="00000000">
              <w:rPr>
                <w:rFonts w:ascii="Google Sans" w:cs="Google Sans" w:eastAsia="Google Sans" w:hAnsi="Google Sans"/>
                <w:sz w:val="24"/>
                <w:szCs w:val="24"/>
                <w:vertAlign w:val="superscript"/>
                <w:rtl w:val="0"/>
              </w:rPr>
              <w:t xml:space="preserve">16</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Systems Architecture for Accelerated TPRM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reimagined TPRM program is wrapped in a "Platform-of-Platforms" architecture.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GRC/IRM:</w:t>
      </w:r>
      <w:r w:rsidDel="00000000" w:rsidR="00000000" w:rsidRPr="00000000">
        <w:rPr>
          <w:rFonts w:ascii="Google Sans" w:cs="Google Sans" w:eastAsia="Google Sans" w:hAnsi="Google Sans"/>
          <w:rtl w:val="0"/>
        </w:rPr>
        <w:t xml:space="preserve"> The central system of record (e.g., ProcessUnity, OneTrust, Aravo) that houses the vendor inventory and risk tiers.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Agent Foundry:</w:t>
      </w:r>
      <w:r w:rsidDel="00000000" w:rsidR="00000000" w:rsidRPr="00000000">
        <w:rPr>
          <w:rFonts w:ascii="Google Sans" w:cs="Google Sans" w:eastAsia="Google Sans" w:hAnsi="Google Sans"/>
          <w:rtl w:val="0"/>
        </w:rPr>
        <w:t xml:space="preserve"> A layer where specialized agents for SOC review, financial analysis, and AI governance reside, integrated via API into the GRC.</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External Intelligence Feeds:</w:t>
      </w:r>
      <w:r w:rsidDel="00000000" w:rsidR="00000000" w:rsidRPr="00000000">
        <w:rPr>
          <w:rFonts w:ascii="Google Sans" w:cs="Google Sans" w:eastAsia="Google Sans" w:hAnsi="Google Sans"/>
          <w:rtl w:val="0"/>
        </w:rPr>
        <w:t xml:space="preserve"> Real-time data from cybersecurity ratings (BitSight), financial health (RapidRatings), and OSINT investigative platforms (Neotas, SignalX).</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Collaboration Layer:</w:t>
      </w:r>
      <w:r w:rsidDel="00000000" w:rsidR="00000000" w:rsidRPr="00000000">
        <w:rPr>
          <w:rFonts w:ascii="Google Sans" w:cs="Google Sans" w:eastAsia="Google Sans" w:hAnsi="Google Sans"/>
          <w:rtl w:val="0"/>
        </w:rPr>
        <w:t xml:space="preserve"> Integrated Slack or Microsoft Teams workflows that alert stakeholders to critical findings or automated remediation tasks.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Future of Deep Research and Grounded Truth in TPRM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eliminate "blind spots," organizations are moving beyond self-reported data to </w:t>
      </w:r>
      <w:r w:rsidDel="00000000" w:rsidR="00000000" w:rsidRPr="00000000">
        <w:rPr>
          <w:rFonts w:ascii="Google Sans" w:cs="Google Sans" w:eastAsia="Google Sans" w:hAnsi="Google Sans"/>
          <w:b w:val="1"/>
          <w:bCs w:val="1"/>
          <w:rtl w:val="0"/>
        </w:rPr>
        <w:t xml:space="preserve">Deep Research Intelligence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involves using AI to synthesize millions of unstructured data points—global trade data, shipping manifests, local-language legal blogs, and even satellite imagery—to uncover hidden threats.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Predictive Disruption:</w:t>
      </w:r>
      <w:r w:rsidDel="00000000" w:rsidR="00000000" w:rsidRPr="00000000">
        <w:rPr>
          <w:rFonts w:ascii="Google Sans" w:cs="Google Sans" w:eastAsia="Google Sans" w:hAnsi="Google Sans"/>
          <w:rtl w:val="0"/>
        </w:rPr>
        <w:t xml:space="preserve"> AI models can now predict supply chain failures based on indicators like port congestion, local labor disputes, or weather anomalies near a key vendor's data center.</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Behavioral OSINT:</w:t>
      </w:r>
      <w:r w:rsidDel="00000000" w:rsidR="00000000" w:rsidRPr="00000000">
        <w:rPr>
          <w:rFonts w:ascii="Google Sans" w:cs="Google Sans" w:eastAsia="Google Sans" w:hAnsi="Google Sans"/>
          <w:rtl w:val="0"/>
        </w:rPr>
        <w:t xml:space="preserve"> Analyzing the digital footprint of a vendor’s leadership or the sentiment of its employees to detect internal fraud or a decline in security culture before it manifests as a breach.</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Best Practices for Strategic Acceleration</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Tier the Engagement, Not Just the Entity:</w:t>
      </w:r>
      <w:r w:rsidDel="00000000" w:rsidR="00000000" w:rsidRPr="00000000">
        <w:rPr>
          <w:rFonts w:ascii="Google Sans" w:cs="Google Sans" w:eastAsia="Google Sans" w:hAnsi="Google Sans"/>
          <w:rtl w:val="0"/>
        </w:rPr>
        <w:t xml:space="preserve"> Apply different levels of due diligence based on the specific service provided, allowing low-risk vendors to be onboarded in days rather than months.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Harmonize Standards:</w:t>
      </w:r>
      <w:r w:rsidDel="00000000" w:rsidR="00000000" w:rsidRPr="00000000">
        <w:rPr>
          <w:rFonts w:ascii="Google Sans" w:cs="Google Sans" w:eastAsia="Google Sans" w:hAnsi="Google Sans"/>
          <w:rtl w:val="0"/>
        </w:rPr>
        <w:t xml:space="preserve"> Map internal controls to universal frameworks (NIST, SIG) so vendors can provide evidence once to satisfy multiple stakeholders.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Embed Remediation into the Workflow:</w:t>
      </w:r>
      <w:r w:rsidDel="00000000" w:rsidR="00000000" w:rsidRPr="00000000">
        <w:rPr>
          <w:rFonts w:ascii="Google Sans" w:cs="Google Sans" w:eastAsia="Google Sans" w:hAnsi="Google Sans"/>
          <w:rtl w:val="0"/>
        </w:rPr>
        <w:t xml:space="preserve"> Don't treat security gaps as blockers; treat them as collaborative projects with clear timelines and automated follow-ups.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Board-Level Visibility:</w:t>
      </w:r>
      <w:r w:rsidDel="00000000" w:rsidR="00000000" w:rsidRPr="00000000">
        <w:rPr>
          <w:rFonts w:ascii="Google Sans" w:cs="Google Sans" w:eastAsia="Google Sans" w:hAnsi="Google Sans"/>
          <w:rtl w:val="0"/>
        </w:rPr>
        <w:t xml:space="preserve"> Use automated dashboards to give executive leadership a "portfolio view" of third-party risk, highlighting concentration risks and remediation progress.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of TPRM in financial services is a transition from a reactive "paper problem" to a proactive "data problem." By leveraging AI agents, Trust Centers, and deep research intelligence, organizations can transform their third-party ecosystem from a source of vulnerability into a strategic asset for resilience and growth.</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TPRM Lifecycle Guide with Examples and Framework Integration - UpGuard, accessed March 1, 2026, </w:t>
      </w:r>
      <w:hyperlink r:id="rId6">
        <w:r w:rsidDel="00000000" w:rsidR="00000000" w:rsidRPr="00000000">
          <w:rPr>
            <w:rFonts w:ascii="Google Sans" w:cs="Google Sans" w:eastAsia="Google Sans" w:hAnsi="Google Sans"/>
            <w:color w:val="0000ee"/>
            <w:sz w:val="24"/>
            <w:szCs w:val="24"/>
            <w:u w:val="single"/>
            <w:rtl w:val="0"/>
          </w:rPr>
          <w:t xml:space="preserve">https://www.upguard.com/blog/tprm-lifecycle</w:t>
        </w:r>
      </w:hyperlink>
      <w:r w:rsidDel="00000000" w:rsidR="00000000" w:rsidRPr="00000000">
        <w:rPr>
          <w:rtl w:val="0"/>
        </w:rPr>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Reimagining Third-Party Risk in an Agentic AI World - Ballistic Ventures, accessed March 1, 2026, </w:t>
      </w:r>
      <w:hyperlink r:id="rId7">
        <w:r w:rsidDel="00000000" w:rsidR="00000000" w:rsidRPr="00000000">
          <w:rPr>
            <w:rFonts w:ascii="Google Sans" w:cs="Google Sans" w:eastAsia="Google Sans" w:hAnsi="Google Sans"/>
            <w:color w:val="0000ee"/>
            <w:sz w:val="24"/>
            <w:szCs w:val="24"/>
            <w:u w:val="single"/>
            <w:rtl w:val="0"/>
          </w:rPr>
          <w:t xml:space="preserve">https://ballisticventures.com/event/reimagining-third-party-risk-in-an-agentic-ai-world/</w:t>
        </w:r>
      </w:hyperlink>
      <w:r w:rsidDel="00000000" w:rsidR="00000000" w:rsidRPr="00000000">
        <w:rPr>
          <w:rtl w:val="0"/>
        </w:rPr>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(TPRM): Guide + Checklist - Asher Security, accessed March 1, 2026, </w:t>
      </w:r>
      <w:hyperlink r:id="rId8">
        <w:r w:rsidDel="00000000" w:rsidR="00000000" w:rsidRPr="00000000">
          <w:rPr>
            <w:rFonts w:ascii="Google Sans" w:cs="Google Sans" w:eastAsia="Google Sans" w:hAnsi="Google Sans"/>
            <w:color w:val="0000ee"/>
            <w:sz w:val="24"/>
            <w:szCs w:val="24"/>
            <w:u w:val="single"/>
            <w:rtl w:val="0"/>
          </w:rPr>
          <w:t xml:space="preserve">https://www.ashersecurity.com/third-party-risk-management-a-complete-guide/</w:t>
        </w:r>
      </w:hyperlink>
      <w:r w:rsidDel="00000000" w:rsidR="00000000" w:rsidRPr="00000000">
        <w:rPr>
          <w:rtl w:val="0"/>
        </w:rPr>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Third Party Risk Management? 2025 Complete Guide - Isora GRC, accessed March 1, 2026, </w:t>
      </w:r>
      <w:hyperlink r:id="rId9">
        <w:r w:rsidDel="00000000" w:rsidR="00000000" w:rsidRPr="00000000">
          <w:rPr>
            <w:rFonts w:ascii="Google Sans" w:cs="Google Sans" w:eastAsia="Google Sans" w:hAnsi="Google Sans"/>
            <w:color w:val="0000ee"/>
            <w:sz w:val="24"/>
            <w:szCs w:val="24"/>
            <w:u w:val="single"/>
            <w:rtl w:val="0"/>
          </w:rPr>
          <w:t xml:space="preserve">https://www.saltycloud.com/blog/third-party-risk-management/</w:t>
        </w:r>
      </w:hyperlink>
      <w:r w:rsidDel="00000000" w:rsidR="00000000" w:rsidRPr="00000000">
        <w:rPr>
          <w:rtl w:val="0"/>
        </w:rPr>
      </w:r>
    </w:p>
    <w:p w:rsidR="00000000" w:rsidDel="00000000" w:rsidP="00000000" w:rsidRDefault="00000000" w:rsidRPr="00000000" w14:paraId="0000009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Third-Party Risk Management (TPRM)? A 2025 Guide - Atlan, accessed March 1, 2026, </w:t>
      </w:r>
      <w:hyperlink r:id="rId10">
        <w:r w:rsidDel="00000000" w:rsidR="00000000" w:rsidRPr="00000000">
          <w:rPr>
            <w:rFonts w:ascii="Google Sans" w:cs="Google Sans" w:eastAsia="Google Sans" w:hAnsi="Google Sans"/>
            <w:color w:val="0000ee"/>
            <w:sz w:val="24"/>
            <w:szCs w:val="24"/>
            <w:u w:val="single"/>
            <w:rtl w:val="0"/>
          </w:rPr>
          <w:t xml:space="preserve">https://atlan.com/know/data-governance/third-party-risk-management/</w:t>
        </w:r>
      </w:hyperlink>
      <w:r w:rsidDel="00000000" w:rsidR="00000000" w:rsidRPr="00000000">
        <w:rPr>
          <w:rtl w:val="0"/>
        </w:rPr>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Third-Party Risk Management (TPRM)? - Panorays, accessed March 1, 2026, </w:t>
      </w:r>
      <w:hyperlink r:id="rId11">
        <w:r w:rsidDel="00000000" w:rsidR="00000000" w:rsidRPr="00000000">
          <w:rPr>
            <w:rFonts w:ascii="Google Sans" w:cs="Google Sans" w:eastAsia="Google Sans" w:hAnsi="Google Sans"/>
            <w:color w:val="0000ee"/>
            <w:sz w:val="24"/>
            <w:szCs w:val="24"/>
            <w:u w:val="single"/>
            <w:rtl w:val="0"/>
          </w:rPr>
          <w:t xml:space="preserve">https://panorays.com/blog/third-party-risk-management/</w:t>
        </w:r>
      </w:hyperlink>
      <w:r w:rsidDel="00000000" w:rsidR="00000000" w:rsidRPr="00000000">
        <w:rPr>
          <w:rtl w:val="0"/>
        </w:rPr>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 Party Risk Management: 6-Step Lifecycle &amp; Best Practices - Venn, accessed March 1, 2026, </w:t>
      </w:r>
      <w:hyperlink r:id="rId12">
        <w:r w:rsidDel="00000000" w:rsidR="00000000" w:rsidRPr="00000000">
          <w:rPr>
            <w:rFonts w:ascii="Google Sans" w:cs="Google Sans" w:eastAsia="Google Sans" w:hAnsi="Google Sans"/>
            <w:color w:val="0000ee"/>
            <w:sz w:val="24"/>
            <w:szCs w:val="24"/>
            <w:u w:val="single"/>
            <w:rtl w:val="0"/>
          </w:rPr>
          <w:t xml:space="preserve">https://www.venn.com/learn/data-security/third-party-risk-management/</w:t>
        </w:r>
      </w:hyperlink>
      <w:r w:rsidDel="00000000" w:rsidR="00000000" w:rsidRPr="00000000">
        <w:rPr>
          <w:rtl w:val="0"/>
        </w:rPr>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TPRM governance: How companies strategically manage third-party risks - KPMG,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https://kpmg.com/de/en/services/audit/regulatory-advisory/tprm-governance-how-companies-strategically-manage-third-party-risks.html</w:t>
        </w:r>
      </w:hyperlink>
      <w:r w:rsidDel="00000000" w:rsidR="00000000" w:rsidRPr="00000000">
        <w:rPr>
          <w:rtl w:val="0"/>
        </w:rPr>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Implementation Roadmap: 6-Step Guide for Enterprises,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https://www.processunity.com/resources/blogs/third-party-risk-management-implementation-roadmap-6-step-guide-for-enterprises/</w:t>
        </w:r>
      </w:hyperlink>
      <w:r w:rsidDel="00000000" w:rsidR="00000000" w:rsidRPr="00000000">
        <w:rPr>
          <w:rtl w:val="0"/>
        </w:rPr>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(TPRM): Final Interagency Guidance - KPMG International,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https://kpmg.com/us/en/articles/2023/third-party-risk-management-final-interagency-guidance-reg-alert.html</w:t>
        </w:r>
      </w:hyperlink>
      <w:r w:rsidDel="00000000" w:rsidR="00000000" w:rsidRPr="00000000">
        <w:rPr>
          <w:rtl w:val="0"/>
        </w:rPr>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Third-Party Risk Management (TPRM) Lifecycle Phases - Aravo,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https://aravo.com/blog/six-phases-of-the-tprm-lifecycle/</w:t>
        </w:r>
      </w:hyperlink>
      <w:r w:rsidDel="00000000" w:rsidR="00000000" w:rsidRPr="00000000">
        <w:rPr>
          <w:rtl w:val="0"/>
        </w:rPr>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Financial Services TPRM Shortcut: 10 Requirements to… | Whistic,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https://www.whistic.com/resources/blog/tprm-compliance-shortcuts-financial-services</w:t>
        </w:r>
      </w:hyperlink>
      <w:r w:rsidDel="00000000" w:rsidR="00000000" w:rsidRPr="00000000">
        <w:rPr>
          <w:rtl w:val="0"/>
        </w:rPr>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Audit Readiness Checklist: 2026 Compliance Guide - Atlas Systems,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https://www.atlassystems.com/blog/third-party-risk-audit-readiness-checklist</w:t>
        </w:r>
      </w:hyperlink>
      <w:r w:rsidDel="00000000" w:rsidR="00000000" w:rsidRPr="00000000">
        <w:rPr>
          <w:rtl w:val="0"/>
        </w:rPr>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Interagency Guidance on Third-Party Relationships - Federal Reserve,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https://www.federalreserve.gov/frrs/guidance/interagency-guidance-on-third-party-relationships.htm</w:t>
        </w:r>
      </w:hyperlink>
      <w:r w:rsidDel="00000000" w:rsidR="00000000" w:rsidRPr="00000000">
        <w:rPr>
          <w:rtl w:val="0"/>
        </w:rPr>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Guideline - Office of the Superintendent of Financial Institutions,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https://www.osfi-bsif.gc.ca/en/guidance/guidance-library/third-party-risk-management-guideline</w:t>
        </w:r>
      </w:hyperlink>
      <w:r w:rsidDel="00000000" w:rsidR="00000000" w:rsidRPr="00000000">
        <w:rPr>
          <w:rtl w:val="0"/>
        </w:rPr>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Reactive to Predictive: How AI Is Redefining Third-Party Risk ..., accessed March 1, 2026, </w:t>
      </w:r>
      <w:hyperlink r:id="rId21">
        <w:r w:rsidDel="00000000" w:rsidR="00000000" w:rsidRPr="00000000">
          <w:rPr>
            <w:rFonts w:ascii="Google Sans" w:cs="Google Sans" w:eastAsia="Google Sans" w:hAnsi="Google Sans"/>
            <w:color w:val="0000ee"/>
            <w:sz w:val="24"/>
            <w:szCs w:val="24"/>
            <w:u w:val="single"/>
            <w:rtl w:val="0"/>
          </w:rPr>
          <w:t xml:space="preserve">https://www.exiger.com/perspectives/how-ai-is-redefining-third-party-risk-management/</w:t>
        </w:r>
      </w:hyperlink>
      <w:r w:rsidDel="00000000" w:rsidR="00000000" w:rsidRPr="00000000">
        <w:rPr>
          <w:rtl w:val="0"/>
        </w:rPr>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Guide for 2026 - UpGuard, accessed March 1, 2026, </w:t>
      </w:r>
      <w:hyperlink r:id="rId22">
        <w:r w:rsidDel="00000000" w:rsidR="00000000" w:rsidRPr="00000000">
          <w:rPr>
            <w:rFonts w:ascii="Google Sans" w:cs="Google Sans" w:eastAsia="Google Sans" w:hAnsi="Google Sans"/>
            <w:color w:val="0000ee"/>
            <w:sz w:val="24"/>
            <w:szCs w:val="24"/>
            <w:u w:val="single"/>
            <w:rtl w:val="0"/>
          </w:rPr>
          <w:t xml:space="preserve">https://www.upguard.com/blog/third-party-risk-management</w:t>
        </w:r>
      </w:hyperlink>
      <w:r w:rsidDel="00000000" w:rsidR="00000000" w:rsidRPr="00000000">
        <w:rPr>
          <w:rtl w:val="0"/>
        </w:rPr>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Vendor Security Questionnaire (VRAQ) Best Practices, accessed March 1, 2026, </w:t>
      </w:r>
      <w:hyperlink r:id="rId23">
        <w:r w:rsidDel="00000000" w:rsidR="00000000" w:rsidRPr="00000000">
          <w:rPr>
            <w:rFonts w:ascii="Google Sans" w:cs="Google Sans" w:eastAsia="Google Sans" w:hAnsi="Google Sans"/>
            <w:color w:val="0000ee"/>
            <w:sz w:val="24"/>
            <w:szCs w:val="24"/>
            <w:u w:val="single"/>
            <w:rtl w:val="0"/>
          </w:rPr>
          <w:t xml:space="preserve">https://safe.security/resources/blog/vendor-security-questionnaire-vraq-best-practices/</w:t>
        </w:r>
      </w:hyperlink>
      <w:r w:rsidDel="00000000" w:rsidR="00000000" w:rsidRPr="00000000">
        <w:rPr>
          <w:rtl w:val="0"/>
        </w:rPr>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101: Guiding Principles - AuditBoard, accessed March 1, 2026, </w:t>
      </w:r>
      <w:hyperlink r:id="rId24">
        <w:r w:rsidDel="00000000" w:rsidR="00000000" w:rsidRPr="00000000">
          <w:rPr>
            <w:rFonts w:ascii="Google Sans" w:cs="Google Sans" w:eastAsia="Google Sans" w:hAnsi="Google Sans"/>
            <w:color w:val="0000ee"/>
            <w:sz w:val="24"/>
            <w:szCs w:val="24"/>
            <w:u w:val="single"/>
            <w:rtl w:val="0"/>
          </w:rPr>
          <w:t xml:space="preserve">https://auditboard.com/blog/third-party-risk-management-101</w:t>
        </w:r>
      </w:hyperlink>
      <w:r w:rsidDel="00000000" w:rsidR="00000000" w:rsidRPr="00000000">
        <w:rPr>
          <w:rtl w:val="0"/>
        </w:rPr>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for AI: A Governance-First Approach - Credo AI, accessed March 1, 2026, </w:t>
      </w:r>
      <w:hyperlink r:id="rId25">
        <w:r w:rsidDel="00000000" w:rsidR="00000000" w:rsidRPr="00000000">
          <w:rPr>
            <w:rFonts w:ascii="Google Sans" w:cs="Google Sans" w:eastAsia="Google Sans" w:hAnsi="Google Sans"/>
            <w:color w:val="0000ee"/>
            <w:sz w:val="24"/>
            <w:szCs w:val="24"/>
            <w:u w:val="single"/>
            <w:rtl w:val="0"/>
          </w:rPr>
          <w:t xml:space="preserve">https://www.credo.ai/blog/third-party-risk-management-for-ai-a-governance-first-approach</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While the Industry Debates Whether to Unify Cybersecurity and AI Governance, VectorCertain Has Already Done It, accessed March 1, 2026, </w:t>
      </w:r>
      <w:hyperlink r:id="rId26">
        <w:r w:rsidDel="00000000" w:rsidR="00000000" w:rsidRPr="00000000">
          <w:rPr>
            <w:rFonts w:ascii="Google Sans" w:cs="Google Sans" w:eastAsia="Google Sans" w:hAnsi="Google Sans"/>
            <w:color w:val="0000ee"/>
            <w:sz w:val="24"/>
            <w:szCs w:val="24"/>
            <w:u w:val="single"/>
            <w:rtl w:val="0"/>
          </w:rPr>
          <w:t xml:space="preserve">https://www.mexc.com/en-GB/news/815531</w:t>
        </w:r>
      </w:hyperlink>
      <w:r w:rsidDel="00000000" w:rsidR="00000000" w:rsidRPr="00000000">
        <w:rPr>
          <w:rtl w:val="0"/>
        </w:rPr>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Services AI Risk Management Framework – Cyber Risk ..., accessed March 1, 2026, </w:t>
      </w:r>
      <w:hyperlink r:id="rId27">
        <w:r w:rsidDel="00000000" w:rsidR="00000000" w:rsidRPr="00000000">
          <w:rPr>
            <w:rFonts w:ascii="Google Sans" w:cs="Google Sans" w:eastAsia="Google Sans" w:hAnsi="Google Sans"/>
            <w:color w:val="0000ee"/>
            <w:sz w:val="24"/>
            <w:szCs w:val="24"/>
            <w:u w:val="single"/>
            <w:rtl w:val="0"/>
          </w:rPr>
          <w:t xml:space="preserve">https://cyberriskinstitute.org/artificial-intelligence-risk-management/</w:t>
        </w:r>
      </w:hyperlink>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AI Risk Management Framework 1.0 | Consulting Services - RSI Security, accessed March 1, 2026, </w:t>
      </w:r>
      <w:hyperlink r:id="rId28">
        <w:r w:rsidDel="00000000" w:rsidR="00000000" w:rsidRPr="00000000">
          <w:rPr>
            <w:rFonts w:ascii="Google Sans" w:cs="Google Sans" w:eastAsia="Google Sans" w:hAnsi="Google Sans"/>
            <w:color w:val="0000ee"/>
            <w:sz w:val="24"/>
            <w:szCs w:val="24"/>
            <w:u w:val="single"/>
            <w:rtl w:val="0"/>
          </w:rPr>
          <w:t xml:space="preserve">https://www.rsisecurity.com/nist-ai-risk-management/</w:t>
        </w:r>
      </w:hyperlink>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Risk Management | Deloitte US, accessed March 1, 2026, </w:t>
      </w:r>
      <w:hyperlink r:id="rId29">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https://www.deloitte.com/us/en/what-we-do/capabilities/applied-artificial-intelligence/articles/ai-risk-management.html</w:t>
        </w:r>
      </w:hyperlink>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Services AI Risk Management Framework: Operationalizing the 230 Control Objectives Before the Market Wakes Up - Lowenstein Sandler LLP, accessed March 1, 2026, </w:t>
      </w:r>
      <w:hyperlink r:id="rId30">
        <w:r w:rsidDel="00000000" w:rsidR="00000000" w:rsidRPr="00000000">
          <w:rPr>
            <w:rFonts w:ascii="Google Sans" w:cs="Google Sans" w:eastAsia="Google Sans" w:hAnsi="Google Sans"/>
            <w:color w:val="0000ee"/>
            <w:sz w:val="24"/>
            <w:szCs w:val="24"/>
            <w:u w:val="single"/>
            <w:rtl w:val="0"/>
          </w:rPr>
          <w:t xml:space="preserve">https://www.lowenstein.com/news-insights/publications/client-alerts/financial-services-ai-risk-management-framework-operationalizing-the-230-control-objectives-before-the-market-wakes-up-data-privacy</w:t>
        </w:r>
      </w:hyperlink>
      <w:r w:rsidDel="00000000" w:rsidR="00000000" w:rsidRPr="00000000">
        <w:rPr>
          <w:rtl w:val="0"/>
        </w:rPr>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Interagency Guidance on Third-Party Relationships: Risk Management - FDIC Archive, accessed March 1, 2026, </w:t>
      </w:r>
      <w:hyperlink r:id="rId31">
        <w:r w:rsidDel="00000000" w:rsidR="00000000" w:rsidRPr="00000000">
          <w:rPr>
            <w:rFonts w:ascii="Google Sans" w:cs="Google Sans" w:eastAsia="Google Sans" w:hAnsi="Google Sans"/>
            <w:color w:val="0000ee"/>
            <w:sz w:val="24"/>
            <w:szCs w:val="24"/>
            <w:u w:val="single"/>
            <w:rtl w:val="0"/>
          </w:rPr>
          <w:t xml:space="preserve">https://archive.fdic.gov/view/fdic/15465</w:t>
        </w:r>
      </w:hyperlink>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Interagency Guidance on Third-Party Relationships: Risk Management | FDIC.gov, accessed March 1, 2026, </w:t>
      </w:r>
      <w:hyperlink r:id="rId32">
        <w:r w:rsidDel="00000000" w:rsidR="00000000" w:rsidRPr="00000000">
          <w:rPr>
            <w:rFonts w:ascii="Google Sans" w:cs="Google Sans" w:eastAsia="Google Sans" w:hAnsi="Google Sans"/>
            <w:color w:val="0000ee"/>
            <w:sz w:val="24"/>
            <w:szCs w:val="24"/>
            <w:u w:val="single"/>
            <w:rtl w:val="0"/>
          </w:rPr>
          <w:t xml:space="preserve">https://www.fdic.gov/news/financial-institution-letters/2023/fil23029.html</w:t>
        </w:r>
      </w:hyperlink>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Interagency Guidance for Bank Risk Management of Third-Party Relationships, accessed March 1, 2026, </w:t>
      </w:r>
      <w:hyperlink r:id="rId33">
        <w:r w:rsidDel="00000000" w:rsidR="00000000" w:rsidRPr="00000000">
          <w:rPr>
            <w:rFonts w:ascii="Google Sans" w:cs="Google Sans" w:eastAsia="Google Sans" w:hAnsi="Google Sans"/>
            <w:color w:val="0000ee"/>
            <w:sz w:val="24"/>
            <w:szCs w:val="24"/>
            <w:u w:val="single"/>
            <w:rtl w:val="0"/>
          </w:rPr>
          <w:t xml:space="preserve">https://www.hunton.com/insights/legal/interagency-guidance-for-bank-risk-management-of-third-party-relationships</w:t>
        </w:r>
      </w:hyperlink>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Interagency Guidance for Bank Risk Management of Third-Party Relationships - ICBA.org, accessed March 1, 2026, </w:t>
      </w:r>
      <w:hyperlink r:id="rId34">
        <w:r w:rsidDel="00000000" w:rsidR="00000000" w:rsidRPr="00000000">
          <w:rPr>
            <w:rFonts w:ascii="Google Sans" w:cs="Google Sans" w:eastAsia="Google Sans" w:hAnsi="Google Sans"/>
            <w:color w:val="0000ee"/>
            <w:sz w:val="24"/>
            <w:szCs w:val="24"/>
            <w:u w:val="single"/>
            <w:rtl w:val="0"/>
          </w:rPr>
          <w:t xml:space="preserve">https://www.icba.org/w/interagency-guidance-for-bank-risk-management-of-third-party-relationships</w:t>
        </w:r>
      </w:hyperlink>
      <w:r w:rsidDel="00000000" w:rsidR="00000000" w:rsidRPr="00000000">
        <w:rPr>
          <w:rtl w:val="0"/>
        </w:rPr>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 party risk management 101 I CoreStream GRC, accessed March 1, 2026, </w:t>
      </w:r>
      <w:hyperlink r:id="rId35">
        <w:r w:rsidDel="00000000" w:rsidR="00000000" w:rsidRPr="00000000">
          <w:rPr>
            <w:rFonts w:ascii="Google Sans" w:cs="Google Sans" w:eastAsia="Google Sans" w:hAnsi="Google Sans"/>
            <w:color w:val="0000ee"/>
            <w:sz w:val="24"/>
            <w:szCs w:val="24"/>
            <w:u w:val="single"/>
            <w:rtl w:val="0"/>
          </w:rPr>
          <w:t xml:space="preserve">https://corestreamgrc.com/resources/blog/third-party-risk-management-step-by-step-guide/</w:t>
        </w:r>
      </w:hyperlink>
      <w:r w:rsidDel="00000000" w:rsidR="00000000" w:rsidRPr="00000000">
        <w:rPr>
          <w:rtl w:val="0"/>
        </w:rPr>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(TPRM): A Complete Guide - Gartner, accessed March 1, 2026, </w:t>
      </w:r>
      <w:hyperlink r:id="rId36">
        <w:r w:rsidDel="00000000" w:rsidR="00000000" w:rsidRPr="00000000">
          <w:rPr>
            <w:rFonts w:ascii="Google Sans" w:cs="Google Sans" w:eastAsia="Google Sans" w:hAnsi="Google Sans"/>
            <w:color w:val="0000ee"/>
            <w:sz w:val="24"/>
            <w:szCs w:val="24"/>
            <w:u w:val="single"/>
            <w:rtl w:val="0"/>
          </w:rPr>
          <w:t xml:space="preserve">https://www.gartner.com/en/legal-compliance/topics/third-party-risk-management-tprm</w:t>
        </w:r>
      </w:hyperlink>
      <w:r w:rsidDel="00000000" w:rsidR="00000000" w:rsidRPr="00000000">
        <w:rPr>
          <w:rtl w:val="0"/>
        </w:rPr>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Third-Party Vendor Risk Management Lifecycle: The Definitive Guide | Mitratech, accessed March 1, 2026, </w:t>
      </w:r>
      <w:hyperlink r:id="rId37">
        <w:r w:rsidDel="00000000" w:rsidR="00000000" w:rsidRPr="00000000">
          <w:rPr>
            <w:rFonts w:ascii="Google Sans" w:cs="Google Sans" w:eastAsia="Google Sans" w:hAnsi="Google Sans"/>
            <w:color w:val="0000ee"/>
            <w:sz w:val="24"/>
            <w:szCs w:val="24"/>
            <w:u w:val="single"/>
            <w:rtl w:val="0"/>
          </w:rPr>
          <w:t xml:space="preserve">https://mitratech.com/resource-hub/blog/third-party-vendor-risk-management-lifecycle/</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Third Party Risk Management (TPRM) - BitSight Technologies, accessed March 1, 2026, </w:t>
      </w:r>
      <w:hyperlink r:id="rId38">
        <w:r w:rsidDel="00000000" w:rsidR="00000000" w:rsidRPr="00000000">
          <w:rPr>
            <w:rFonts w:ascii="Google Sans" w:cs="Google Sans" w:eastAsia="Google Sans" w:hAnsi="Google Sans"/>
            <w:color w:val="0000ee"/>
            <w:sz w:val="24"/>
            <w:szCs w:val="24"/>
            <w:u w:val="single"/>
            <w:rtl w:val="0"/>
          </w:rPr>
          <w:t xml:space="preserve">https://www.bitsight.com/blog/ultimate-guide-tprm-what-third-party-risk-management</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TPRM Framework - Key Components &amp; Best Practices | Certa, accessed March 1, 2026, </w:t>
      </w:r>
      <w:hyperlink r:id="rId39">
        <w:r w:rsidDel="00000000" w:rsidR="00000000" w:rsidRPr="00000000">
          <w:rPr>
            <w:rFonts w:ascii="Google Sans" w:cs="Google Sans" w:eastAsia="Google Sans" w:hAnsi="Google Sans"/>
            <w:color w:val="0000ee"/>
            <w:sz w:val="24"/>
            <w:szCs w:val="24"/>
            <w:u w:val="single"/>
            <w:rtl w:val="0"/>
          </w:rPr>
          <w:t xml:space="preserve">https://www.certa.ai/blogs/selecting-the-right-tprm-framework-key-components-and-best-practices</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Go/No-Go Decision Process: Steps &amp; Checklist for Projects - Inventive AI, accessed March 1, 2026, </w:t>
      </w:r>
      <w:hyperlink r:id="rId40">
        <w:r w:rsidDel="00000000" w:rsidR="00000000" w:rsidRPr="00000000">
          <w:rPr>
            <w:rFonts w:ascii="Google Sans" w:cs="Google Sans" w:eastAsia="Google Sans" w:hAnsi="Google Sans"/>
            <w:color w:val="0000ee"/>
            <w:sz w:val="24"/>
            <w:szCs w:val="24"/>
            <w:u w:val="single"/>
            <w:rtl w:val="0"/>
          </w:rPr>
          <w:t xml:space="preserve">https://www.inventive.ai/blog-posts/go-no-go-decision-projects</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TPRM lifecycle: 7 key phases and the best practices for each | Vanta, accessed March 1, 2026, </w:t>
      </w:r>
      <w:hyperlink r:id="rId41">
        <w:r w:rsidDel="00000000" w:rsidR="00000000" w:rsidRPr="00000000">
          <w:rPr>
            <w:rFonts w:ascii="Google Sans" w:cs="Google Sans" w:eastAsia="Google Sans" w:hAnsi="Google Sans"/>
            <w:color w:val="0000ee"/>
            <w:sz w:val="24"/>
            <w:szCs w:val="24"/>
            <w:u w:val="single"/>
            <w:rtl w:val="0"/>
          </w:rPr>
          <w:t xml:space="preserve">https://www.vanta.com/collection/tprm/tprm-lifecycle</w:t>
        </w:r>
      </w:hyperlink>
      <w:r w:rsidDel="00000000" w:rsidR="00000000" w:rsidRPr="00000000">
        <w:rPr>
          <w:rtl w:val="0"/>
        </w:rPr>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Requirements in Third-Party Risk Management - Captain Compliance, accessed March 1, 2026, </w:t>
      </w:r>
      <w:hyperlink r:id="rId42">
        <w:r w:rsidDel="00000000" w:rsidR="00000000" w:rsidRPr="00000000">
          <w:rPr>
            <w:rFonts w:ascii="Google Sans" w:cs="Google Sans" w:eastAsia="Google Sans" w:hAnsi="Google Sans"/>
            <w:color w:val="0000ee"/>
            <w:sz w:val="24"/>
            <w:szCs w:val="24"/>
            <w:u w:val="single"/>
            <w:rtl w:val="0"/>
          </w:rPr>
          <w:t xml:space="preserve">https://captaincompliance.com/education/audit-requirements-in-third-party-risk-management/</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Compliance Questionnaires: The Complete Guide For 2026 - Workstreet, accessed March 1, 2026, </w:t>
      </w:r>
      <w:hyperlink r:id="rId43">
        <w:r w:rsidDel="00000000" w:rsidR="00000000" w:rsidRPr="00000000">
          <w:rPr>
            <w:rFonts w:ascii="Google Sans" w:cs="Google Sans" w:eastAsia="Google Sans" w:hAnsi="Google Sans"/>
            <w:color w:val="0000ee"/>
            <w:sz w:val="24"/>
            <w:szCs w:val="24"/>
            <w:u w:val="single"/>
            <w:rtl w:val="0"/>
          </w:rPr>
          <w:t xml:space="preserve">https://www.workstreet.com/blog/security-compliance-questionnaires</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in 2025: How to build a scalable program - Diligent, accessed March 1, 2026, </w:t>
      </w:r>
      <w:hyperlink r:id="rId44">
        <w:r w:rsidDel="00000000" w:rsidR="00000000" w:rsidRPr="00000000">
          <w:rPr>
            <w:rFonts w:ascii="Google Sans" w:cs="Google Sans" w:eastAsia="Google Sans" w:hAnsi="Google Sans"/>
            <w:color w:val="0000ee"/>
            <w:sz w:val="24"/>
            <w:szCs w:val="24"/>
            <w:u w:val="single"/>
            <w:rtl w:val="0"/>
          </w:rPr>
          <w:t xml:space="preserve">https://www.diligent.com/resources/guides/third-party-risk-management</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Vendor Onboarding Best Practices: Reducing Risk from Day One - ZenGRC, accessed March 1, 2026, </w:t>
      </w:r>
      <w:hyperlink r:id="rId45">
        <w:r w:rsidDel="00000000" w:rsidR="00000000" w:rsidRPr="00000000">
          <w:rPr>
            <w:rFonts w:ascii="Google Sans" w:cs="Google Sans" w:eastAsia="Google Sans" w:hAnsi="Google Sans"/>
            <w:color w:val="0000ee"/>
            <w:sz w:val="24"/>
            <w:szCs w:val="24"/>
            <w:u w:val="single"/>
            <w:rtl w:val="0"/>
          </w:rPr>
          <w:t xml:space="preserve">https://www.zengrc.com/blog/vendor-onboarding-best-practices-reducing-risk-from-day-one/</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Third-Party Risk Management Technology Solutions Reviews 2026 | Gartner Peer Insights, accessed March 1, 2026, </w:t>
      </w:r>
      <w:hyperlink r:id="rId46">
        <w:r w:rsidDel="00000000" w:rsidR="00000000" w:rsidRPr="00000000">
          <w:rPr>
            <w:rFonts w:ascii="Google Sans" w:cs="Google Sans" w:eastAsia="Google Sans" w:hAnsi="Google Sans"/>
            <w:color w:val="0000ee"/>
            <w:sz w:val="24"/>
            <w:szCs w:val="24"/>
            <w:u w:val="single"/>
            <w:rtl w:val="0"/>
          </w:rPr>
          <w:t xml:space="preserve">https://www.gartner.com/reviews/market/third-party-risk-management-technology-solutions</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Due Diligence Platform | Mitigate Business Risk, accessed March 1, 2026, </w:t>
      </w:r>
      <w:hyperlink r:id="rId47">
        <w:r w:rsidDel="00000000" w:rsidR="00000000" w:rsidRPr="00000000">
          <w:rPr>
            <w:rFonts w:ascii="Google Sans" w:cs="Google Sans" w:eastAsia="Google Sans" w:hAnsi="Google Sans"/>
            <w:color w:val="0000ee"/>
            <w:sz w:val="24"/>
            <w:szCs w:val="24"/>
            <w:u w:val="single"/>
            <w:rtl w:val="0"/>
          </w:rPr>
          <w:t xml:space="preserve">https://www.neotas.com/</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AI Agents, 94% Efficiency Gain: Pioneering Agentic Third-Party ..., accessed March 1, 2026, </w:t>
      </w:r>
      <w:hyperlink r:id="rId48">
        <w:r w:rsidDel="00000000" w:rsidR="00000000" w:rsidRPr="00000000">
          <w:rPr>
            <w:rFonts w:ascii="Google Sans" w:cs="Google Sans" w:eastAsia="Google Sans" w:hAnsi="Google Sans"/>
            <w:color w:val="0000ee"/>
            <w:sz w:val="24"/>
            <w:szCs w:val="24"/>
            <w:u w:val="single"/>
            <w:rtl w:val="0"/>
          </w:rPr>
          <w:t xml:space="preserve">https://www.treasuredata.com/blog/agentic-tprm</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TPRM Compliance: A Comprehensive Guide - Mitratech, accessed March 1, 2026, </w:t>
      </w:r>
      <w:hyperlink r:id="rId49">
        <w:r w:rsidDel="00000000" w:rsidR="00000000" w:rsidRPr="00000000">
          <w:rPr>
            <w:rFonts w:ascii="Google Sans" w:cs="Google Sans" w:eastAsia="Google Sans" w:hAnsi="Google Sans"/>
            <w:color w:val="0000ee"/>
            <w:sz w:val="24"/>
            <w:szCs w:val="24"/>
            <w:u w:val="single"/>
            <w:rtl w:val="0"/>
          </w:rPr>
          <w:t xml:space="preserve">https://mitratech.com/resource-hub/blog/understanding-tprm-compliance-a-comprehensive-guide/</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 800-53 Rev. 5, Security and Privacy Controls for Information Systems and Organizations | CSRC - National Institute of Standards and Technology, accessed March 1, 2026, </w:t>
      </w:r>
      <w:hyperlink r:id="rId50">
        <w:r w:rsidDel="00000000" w:rsidR="00000000" w:rsidRPr="00000000">
          <w:rPr>
            <w:rFonts w:ascii="Google Sans" w:cs="Google Sans" w:eastAsia="Google Sans" w:hAnsi="Google Sans"/>
            <w:color w:val="0000ee"/>
            <w:sz w:val="24"/>
            <w:szCs w:val="24"/>
            <w:u w:val="single"/>
            <w:rtl w:val="0"/>
          </w:rPr>
          <w:t xml:space="preserve">https://csrc.nist.gov/pubs/sp/800/53/r5/upd1/final</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Steps to Streamline Governance and Oversight in TPRM | Mitratech, accessed March 1, 2026, </w:t>
      </w:r>
      <w:hyperlink r:id="rId51">
        <w:r w:rsidDel="00000000" w:rsidR="00000000" w:rsidRPr="00000000">
          <w:rPr>
            <w:rFonts w:ascii="Google Sans" w:cs="Google Sans" w:eastAsia="Google Sans" w:hAnsi="Google Sans"/>
            <w:color w:val="0000ee"/>
            <w:sz w:val="24"/>
            <w:szCs w:val="24"/>
            <w:u w:val="single"/>
            <w:rtl w:val="0"/>
          </w:rPr>
          <w:t xml:space="preserve">https://mitratech.com/resource-hub/blog/third-party-risk-governance-oversight/</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Third-Party Risk Management Software for Financial Services - Venminder, accessed March 1, 2026, </w:t>
      </w:r>
      <w:hyperlink r:id="rId52">
        <w:r w:rsidDel="00000000" w:rsidR="00000000" w:rsidRPr="00000000">
          <w:rPr>
            <w:rFonts w:ascii="Google Sans" w:cs="Google Sans" w:eastAsia="Google Sans" w:hAnsi="Google Sans"/>
            <w:color w:val="0000ee"/>
            <w:sz w:val="24"/>
            <w:szCs w:val="24"/>
            <w:u w:val="single"/>
            <w:rtl w:val="0"/>
          </w:rPr>
          <w:t xml:space="preserve">https://www.venminder.com/blog/evaluating-third-party-risk-management-software-financial-services</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Risk Management Application | LogicGate Risk Cloud, accessed March 1, 2026, </w:t>
      </w:r>
      <w:hyperlink r:id="rId53">
        <w:r w:rsidDel="00000000" w:rsidR="00000000" w:rsidRPr="00000000">
          <w:rPr>
            <w:rFonts w:ascii="Google Sans" w:cs="Google Sans" w:eastAsia="Google Sans" w:hAnsi="Google Sans"/>
            <w:color w:val="0000ee"/>
            <w:sz w:val="24"/>
            <w:szCs w:val="24"/>
            <w:u w:val="single"/>
            <w:rtl w:val="0"/>
          </w:rPr>
          <w:t xml:space="preserve">https://www.logicgate.com/platform/applications/third-party-risk-management-application/</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Vendor Risk Assessments: From Questionnaires to Intelligence - Panorays, accessed March 1, 2026, </w:t>
      </w:r>
      <w:hyperlink r:id="rId54">
        <w:r w:rsidDel="00000000" w:rsidR="00000000" w:rsidRPr="00000000">
          <w:rPr>
            <w:rFonts w:ascii="Google Sans" w:cs="Google Sans" w:eastAsia="Google Sans" w:hAnsi="Google Sans"/>
            <w:color w:val="0000ee"/>
            <w:sz w:val="24"/>
            <w:szCs w:val="24"/>
            <w:u w:val="single"/>
            <w:rtl w:val="0"/>
          </w:rPr>
          <w:t xml:space="preserve">https://panorays.com/blog/automated-vendor-risk-assessments-for-tpcrm/</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TPRM: Evaluation Guide for Risk Managers - Atlas Systems, accessed March 1, 2026, </w:t>
      </w:r>
      <w:hyperlink r:id="rId55">
        <w:r w:rsidDel="00000000" w:rsidR="00000000" w:rsidRPr="00000000">
          <w:rPr>
            <w:rFonts w:ascii="Google Sans" w:cs="Google Sans" w:eastAsia="Google Sans" w:hAnsi="Google Sans"/>
            <w:color w:val="0000ee"/>
            <w:sz w:val="24"/>
            <w:szCs w:val="24"/>
            <w:u w:val="single"/>
            <w:rtl w:val="0"/>
          </w:rPr>
          <w:t xml:space="preserve">https://www.atlassystems.com/complyscore/ai-tprm/ai-for-third-party-risk-managers</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Third-Party Risk Management Workflows - Panorays, accessed March 1, 2026, </w:t>
      </w:r>
      <w:hyperlink r:id="rId56">
        <w:r w:rsidDel="00000000" w:rsidR="00000000" w:rsidRPr="00000000">
          <w:rPr>
            <w:rFonts w:ascii="Google Sans" w:cs="Google Sans" w:eastAsia="Google Sans" w:hAnsi="Google Sans"/>
            <w:color w:val="0000ee"/>
            <w:sz w:val="24"/>
            <w:szCs w:val="24"/>
            <w:u w:val="single"/>
            <w:rtl w:val="0"/>
          </w:rPr>
          <w:t xml:space="preserve">https://panorays.com/blog/ai-in-third-party-risk-management/</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Reimagining Enterprise Delivery with Autonomous AI Agents - RTInsights, accessed March 1, 2026, </w:t>
      </w:r>
      <w:hyperlink r:id="rId57">
        <w:r w:rsidDel="00000000" w:rsidR="00000000" w:rsidRPr="00000000">
          <w:rPr>
            <w:rFonts w:ascii="Google Sans" w:cs="Google Sans" w:eastAsia="Google Sans" w:hAnsi="Google Sans"/>
            <w:color w:val="0000ee"/>
            <w:sz w:val="24"/>
            <w:szCs w:val="24"/>
            <w:u w:val="single"/>
            <w:rtl w:val="0"/>
          </w:rPr>
          <w:t xml:space="preserve">https://www.rtinsights.com/reimagining-enterprise-delivery-with-autonomous-ai-agents/</w:t>
        </w:r>
      </w:hyperlink>
      <w:r w:rsidDel="00000000" w:rsidR="00000000" w:rsidRPr="00000000">
        <w:rPr>
          <w:rtl w:val="0"/>
        </w:rPr>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Scoring Agent | AI Agents for Risk Assessment and Mitigation - ZBrain, accessed March 1, 2026, </w:t>
      </w:r>
      <w:hyperlink r:id="rId58">
        <w:r w:rsidDel="00000000" w:rsidR="00000000" w:rsidRPr="00000000">
          <w:rPr>
            <w:rFonts w:ascii="Google Sans" w:cs="Google Sans" w:eastAsia="Google Sans" w:hAnsi="Google Sans"/>
            <w:color w:val="0000ee"/>
            <w:sz w:val="24"/>
            <w:szCs w:val="24"/>
            <w:u w:val="single"/>
            <w:rtl w:val="0"/>
          </w:rPr>
          <w:t xml:space="preserve">https://zbrain.ai/agents/Legal/all/Risk-Assessment-and-Mitigation/risk-scoring-agent/</w:t>
        </w:r>
      </w:hyperlink>
      <w:r w:rsidDel="00000000" w:rsidR="00000000" w:rsidRPr="00000000">
        <w:rPr>
          <w:rtl w:val="0"/>
        </w:rPr>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AI Guide for Third-Party Risk Management - Whistic, accessed March 1, 2026, </w:t>
      </w:r>
      <w:hyperlink r:id="rId59">
        <w:r w:rsidDel="00000000" w:rsidR="00000000" w:rsidRPr="00000000">
          <w:rPr>
            <w:rFonts w:ascii="Google Sans" w:cs="Google Sans" w:eastAsia="Google Sans" w:hAnsi="Google Sans"/>
            <w:color w:val="0000ee"/>
            <w:sz w:val="24"/>
            <w:szCs w:val="24"/>
            <w:u w:val="single"/>
            <w:rtl w:val="0"/>
          </w:rPr>
          <w:t xml:space="preserve">https://www.whistic.com/whistic-ai-guide-for-third-party-risk-management</w:t>
        </w:r>
      </w:hyperlink>
      <w:r w:rsidDel="00000000" w:rsidR="00000000" w:rsidRPr="00000000">
        <w:rPr>
          <w:rtl w:val="0"/>
        </w:rPr>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Best Third Party Risk Management Tools(TPRM Tools) in 2026 - SignalX, accessed March 1, 2026, </w:t>
      </w:r>
      <w:hyperlink r:id="rId60">
        <w:r w:rsidDel="00000000" w:rsidR="00000000" w:rsidRPr="00000000">
          <w:rPr>
            <w:rFonts w:ascii="Google Sans" w:cs="Google Sans" w:eastAsia="Google Sans" w:hAnsi="Google Sans"/>
            <w:color w:val="0000ee"/>
            <w:sz w:val="24"/>
            <w:szCs w:val="24"/>
            <w:u w:val="single"/>
            <w:rtl w:val="0"/>
          </w:rPr>
          <w:t xml:space="preserve">https://signalx.ai/11-best-tools-for-third-party-risk-management/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ntive.ai/blog-posts/go-no-go-decision-projects" TargetMode="External"/><Relationship Id="rId42" Type="http://schemas.openxmlformats.org/officeDocument/2006/relationships/hyperlink" Target="https://captaincompliance.com/education/audit-requirements-in-third-party-risk-management/" TargetMode="External"/><Relationship Id="rId41" Type="http://schemas.openxmlformats.org/officeDocument/2006/relationships/hyperlink" Target="https://www.vanta.com/collection/tprm/tprm-lifecycle" TargetMode="External"/><Relationship Id="rId44" Type="http://schemas.openxmlformats.org/officeDocument/2006/relationships/hyperlink" Target="https://www.diligent.com/resources/guides/third-party-risk-management" TargetMode="External"/><Relationship Id="rId43" Type="http://schemas.openxmlformats.org/officeDocument/2006/relationships/hyperlink" Target="https://www.workstreet.com/blog/security-compliance-questionnaires" TargetMode="External"/><Relationship Id="rId46" Type="http://schemas.openxmlformats.org/officeDocument/2006/relationships/hyperlink" Target="https://www.gartner.com/reviews/market/third-party-risk-management-technology-solutions" TargetMode="External"/><Relationship Id="rId45" Type="http://schemas.openxmlformats.org/officeDocument/2006/relationships/hyperlink" Target="https://www.zengrc.com/blog/vendor-onboarding-best-practices-reducing-risk-from-day-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tycloud.com/blog/third-party-risk-management/" TargetMode="External"/><Relationship Id="rId48" Type="http://schemas.openxmlformats.org/officeDocument/2006/relationships/hyperlink" Target="https://www.treasuredata.com/blog/agentic-tprm" TargetMode="External"/><Relationship Id="rId47" Type="http://schemas.openxmlformats.org/officeDocument/2006/relationships/hyperlink" Target="https://www.neotas.com/" TargetMode="External"/><Relationship Id="rId49" Type="http://schemas.openxmlformats.org/officeDocument/2006/relationships/hyperlink" Target="https://mitratech.com/resource-hub/blog/understanding-tprm-compliance-a-comprehensive-guide/" TargetMode="External"/><Relationship Id="rId5" Type="http://schemas.openxmlformats.org/officeDocument/2006/relationships/styles" Target="styles.xml"/><Relationship Id="rId6" Type="http://schemas.openxmlformats.org/officeDocument/2006/relationships/hyperlink" Target="https://www.upguard.com/blog/tprm-lifecycle" TargetMode="External"/><Relationship Id="rId7" Type="http://schemas.openxmlformats.org/officeDocument/2006/relationships/hyperlink" Target="https://ballisticventures.com/event/reimagining-third-party-risk-in-an-agentic-ai-world/" TargetMode="External"/><Relationship Id="rId8" Type="http://schemas.openxmlformats.org/officeDocument/2006/relationships/hyperlink" Target="https://www.ashersecurity.com/third-party-risk-management-a-complete-guide/" TargetMode="External"/><Relationship Id="rId31" Type="http://schemas.openxmlformats.org/officeDocument/2006/relationships/hyperlink" Target="https://archive.fdic.gov/view/fdic/15465" TargetMode="External"/><Relationship Id="rId30" Type="http://schemas.openxmlformats.org/officeDocument/2006/relationships/hyperlink" Target="https://www.lowenstein.com/news-insights/publications/client-alerts/financial-services-ai-risk-management-framework-operationalizing-the-230-control-objectives-before-the-market-wakes-up-data-privacy" TargetMode="External"/><Relationship Id="rId33" Type="http://schemas.openxmlformats.org/officeDocument/2006/relationships/hyperlink" Target="https://www.hunton.com/insights/legal/interagency-guidance-for-bank-risk-management-of-third-party-relationships" TargetMode="External"/><Relationship Id="rId32" Type="http://schemas.openxmlformats.org/officeDocument/2006/relationships/hyperlink" Target="https://www.fdic.gov/news/financial-institution-letters/2023/fil23029.html" TargetMode="External"/><Relationship Id="rId35" Type="http://schemas.openxmlformats.org/officeDocument/2006/relationships/hyperlink" Target="https://corestreamgrc.com/resources/blog/third-party-risk-management-step-by-step-guide/" TargetMode="External"/><Relationship Id="rId34" Type="http://schemas.openxmlformats.org/officeDocument/2006/relationships/hyperlink" Target="https://www.icba.org/w/interagency-guidance-for-bank-risk-management-of-third-party-relationships" TargetMode="External"/><Relationship Id="rId37" Type="http://schemas.openxmlformats.org/officeDocument/2006/relationships/hyperlink" Target="https://mitratech.com/resource-hub/blog/third-party-vendor-risk-management-lifecycle/" TargetMode="External"/><Relationship Id="rId36" Type="http://schemas.openxmlformats.org/officeDocument/2006/relationships/hyperlink" Target="https://www.gartner.com/en/legal-compliance/topics/third-party-risk-management-tprm" TargetMode="External"/><Relationship Id="rId39" Type="http://schemas.openxmlformats.org/officeDocument/2006/relationships/hyperlink" Target="https://www.certa.ai/blogs/selecting-the-right-tprm-framework-key-components-and-best-practices" TargetMode="External"/><Relationship Id="rId38" Type="http://schemas.openxmlformats.org/officeDocument/2006/relationships/hyperlink" Target="https://www.bitsight.com/blog/ultimate-guide-tprm-what-third-party-risk-management" TargetMode="External"/><Relationship Id="rId20" Type="http://schemas.openxmlformats.org/officeDocument/2006/relationships/hyperlink" Target="https://www.osfi-bsif.gc.ca/en/guidance/guidance-library/third-party-risk-management-guideline" TargetMode="External"/><Relationship Id="rId22" Type="http://schemas.openxmlformats.org/officeDocument/2006/relationships/hyperlink" Target="https://www.upguard.com/blog/third-party-risk-management" TargetMode="External"/><Relationship Id="rId21" Type="http://schemas.openxmlformats.org/officeDocument/2006/relationships/hyperlink" Target="https://www.exiger.com/perspectives/how-ai-is-redefining-third-party-risk-management/" TargetMode="External"/><Relationship Id="rId24" Type="http://schemas.openxmlformats.org/officeDocument/2006/relationships/hyperlink" Target="https://auditboard.com/blog/third-party-risk-management-101" TargetMode="External"/><Relationship Id="rId23" Type="http://schemas.openxmlformats.org/officeDocument/2006/relationships/hyperlink" Target="https://safe.security/resources/blog/vendor-security-questionnaire-vraq-best-practices/" TargetMode="External"/><Relationship Id="rId60" Type="http://schemas.openxmlformats.org/officeDocument/2006/relationships/hyperlink" Target="https://signalx.ai/11-best-tools-for-third-party-risk-management/" TargetMode="External"/><Relationship Id="rId26" Type="http://schemas.openxmlformats.org/officeDocument/2006/relationships/hyperlink" Target="https://www.mexc.com/en-GB/news/815531" TargetMode="External"/><Relationship Id="rId25" Type="http://schemas.openxmlformats.org/officeDocument/2006/relationships/hyperlink" Target="https://www.credo.ai/blog/third-party-risk-management-for-ai-a-governance-first-approach" TargetMode="External"/><Relationship Id="rId28" Type="http://schemas.openxmlformats.org/officeDocument/2006/relationships/hyperlink" Target="https://www.rsisecurity.com/nist-ai-risk-management/" TargetMode="External"/><Relationship Id="rId27" Type="http://schemas.openxmlformats.org/officeDocument/2006/relationships/hyperlink" Target="https://cyberriskinstitute.org/artificial-intelligence-risk-management/" TargetMode="External"/><Relationship Id="rId29" Type="http://schemas.openxmlformats.org/officeDocument/2006/relationships/hyperlink" Target="https://www.deloitte.com/us/en/what-we-do/capabilities/applied-artificial-intelligence/articles/ai-risk-management.html" TargetMode="External"/><Relationship Id="rId51" Type="http://schemas.openxmlformats.org/officeDocument/2006/relationships/hyperlink" Target="https://mitratech.com/resource-hub/blog/third-party-risk-governance-oversight/" TargetMode="External"/><Relationship Id="rId50" Type="http://schemas.openxmlformats.org/officeDocument/2006/relationships/hyperlink" Target="https://csrc.nist.gov/pubs/sp/800/53/r5/upd1/final" TargetMode="External"/><Relationship Id="rId53" Type="http://schemas.openxmlformats.org/officeDocument/2006/relationships/hyperlink" Target="https://www.logicgate.com/platform/applications/third-party-risk-management-application/" TargetMode="External"/><Relationship Id="rId52" Type="http://schemas.openxmlformats.org/officeDocument/2006/relationships/hyperlink" Target="https://www.venminder.com/blog/evaluating-third-party-risk-management-software-financial-services" TargetMode="External"/><Relationship Id="rId11" Type="http://schemas.openxmlformats.org/officeDocument/2006/relationships/hyperlink" Target="https://panorays.com/blog/third-party-risk-management/" TargetMode="External"/><Relationship Id="rId55" Type="http://schemas.openxmlformats.org/officeDocument/2006/relationships/hyperlink" Target="https://www.atlassystems.com/complyscore/ai-tprm/ai-for-third-party-risk-managers" TargetMode="External"/><Relationship Id="rId10" Type="http://schemas.openxmlformats.org/officeDocument/2006/relationships/hyperlink" Target="https://atlan.com/know/data-governance/third-party-risk-management/" TargetMode="External"/><Relationship Id="rId54" Type="http://schemas.openxmlformats.org/officeDocument/2006/relationships/hyperlink" Target="https://panorays.com/blog/automated-vendor-risk-assessments-for-tpcrm/" TargetMode="External"/><Relationship Id="rId13" Type="http://schemas.openxmlformats.org/officeDocument/2006/relationships/hyperlink" Target="https://kpmg.com/de/en/services/audit/regulatory-advisory/tprm-governance-how-companies-strategically-manage-third-party-risks.html" TargetMode="External"/><Relationship Id="rId57" Type="http://schemas.openxmlformats.org/officeDocument/2006/relationships/hyperlink" Target="https://www.rtinsights.com/reimagining-enterprise-delivery-with-autonomous-ai-agents/" TargetMode="External"/><Relationship Id="rId12" Type="http://schemas.openxmlformats.org/officeDocument/2006/relationships/hyperlink" Target="https://www.venn.com/learn/data-security/third-party-risk-management/" TargetMode="External"/><Relationship Id="rId56" Type="http://schemas.openxmlformats.org/officeDocument/2006/relationships/hyperlink" Target="https://panorays.com/blog/ai-in-third-party-risk-management/" TargetMode="External"/><Relationship Id="rId15" Type="http://schemas.openxmlformats.org/officeDocument/2006/relationships/hyperlink" Target="https://kpmg.com/us/en/articles/2023/third-party-risk-management-final-interagency-guidance-reg-alert.html" TargetMode="External"/><Relationship Id="rId59" Type="http://schemas.openxmlformats.org/officeDocument/2006/relationships/hyperlink" Target="https://www.whistic.com/whistic-ai-guide-for-third-party-risk-management" TargetMode="External"/><Relationship Id="rId14" Type="http://schemas.openxmlformats.org/officeDocument/2006/relationships/hyperlink" Target="https://www.processunity.com/resources/blogs/third-party-risk-management-implementation-roadmap-6-step-guide-for-enterprises/" TargetMode="External"/><Relationship Id="rId58" Type="http://schemas.openxmlformats.org/officeDocument/2006/relationships/hyperlink" Target="https://zbrain.ai/agents/Legal/all/Risk-Assessment-and-Mitigation/risk-scoring-agent/" TargetMode="External"/><Relationship Id="rId17" Type="http://schemas.openxmlformats.org/officeDocument/2006/relationships/hyperlink" Target="https://www.whistic.com/resources/blog/tprm-compliance-shortcuts-financial-services" TargetMode="External"/><Relationship Id="rId16" Type="http://schemas.openxmlformats.org/officeDocument/2006/relationships/hyperlink" Target="https://aravo.com/blog/six-phases-of-the-tprm-lifecycle/" TargetMode="External"/><Relationship Id="rId19" Type="http://schemas.openxmlformats.org/officeDocument/2006/relationships/hyperlink" Target="https://www.federalreserve.gov/frrs/guidance/interagency-guidance-on-third-party-relationships.htm" TargetMode="External"/><Relationship Id="rId18" Type="http://schemas.openxmlformats.org/officeDocument/2006/relationships/hyperlink" Target="https://www.atlassystems.com/blog/third-party-risk-audit-readiness-check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