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3864"/>
          <w:sz w:val="48"/>
          <w:szCs w:val="48"/>
        </w:rPr>
        <w:t xml:space="preserve">ENTERPRISE SOFTWARE GOVERNANCE</w:t>
      </w:r>
    </w:p>
    <w:p>
      <w:pPr>
        <w:spacing w:after="100"/>
        <w:jc w:val="center"/>
      </w:pPr>
      <w:r>
        <w:rPr>
          <w:rFonts w:ascii="Arial" w:cs="Arial" w:eastAsia="Arial" w:hAnsi="Arial"/>
          <w:b/>
          <w:bCs/>
          <w:color w:val="2E75B6"/>
          <w:sz w:val="40"/>
          <w:szCs w:val="40"/>
        </w:rPr>
        <w:t xml:space="preserve">Intake &amp; Onboarding Lifecycle</w:t>
      </w:r>
    </w:p>
    <w:p>
      <w:pPr>
        <w:spacing w:after="400"/>
        <w:jc w:val="center"/>
      </w:pPr>
      <w:r>
        <w:rPr>
          <w:rFonts w:ascii="Arial" w:cs="Arial" w:eastAsia="Arial" w:hAnsi="Arial"/>
          <w:color w:val="666666"/>
          <w:sz w:val="28"/>
          <w:szCs w:val="28"/>
        </w:rPr>
        <w:t xml:space="preserve">BPM Process Architecture, DMN Decision Models &amp; Dependency Analysis</w:t>
      </w:r>
    </w:p>
    <w:p>
      <w:pPr>
        <w:pBdr>
          <w:top w:val="single" w:color="2E75B6" w:sz="6" w:space="1"/>
        </w:pBdr>
        <w:spacing w:after="60"/>
        <w:jc w:val="center"/>
      </w:pPr>
    </w:p>
    <w:p>
      <w:pPr>
        <w:spacing w:after="80"/>
      </w:pPr>
    </w:p>
    <w:p>
      <w:pPr>
        <w:spacing w:after="80"/>
        <w:jc w:val="center"/>
      </w:pPr>
      <w:r>
        <w:rPr>
          <w:rFonts w:ascii="Arial" w:cs="Arial" w:eastAsia="Arial" w:hAnsi="Arial"/>
          <w:color w:val="666666"/>
          <w:sz w:val="24"/>
          <w:szCs w:val="24"/>
        </w:rPr>
        <w:t xml:space="preserve">Intake to Retirement Lifecycle Playbook</w:t>
      </w:r>
    </w:p>
    <w:p>
      <w:pPr>
        <w:spacing w:after="80"/>
        <w:jc w:val="center"/>
      </w:pPr>
      <w:r>
        <w:rPr>
          <w:rFonts w:ascii="Arial" w:cs="Arial" w:eastAsia="Arial" w:hAnsi="Arial"/>
          <w:color w:val="666666"/>
          <w:sz w:val="24"/>
          <w:szCs w:val="24"/>
        </w:rPr>
        <w:t xml:space="preserve">Companion Document — BPM &amp; DMN Focus</w:t>
      </w:r>
    </w:p>
    <w:p>
      <w:pPr>
        <w:spacing w:after="80"/>
        <w:jc w:val="center"/>
      </w:pPr>
      <w:r>
        <w:rPr>
          <w:rFonts w:ascii="Arial" w:cs="Arial" w:eastAsia="Arial" w:hAnsi="Arial"/>
          <w:color w:val="666666"/>
          <w:sz w:val="24"/>
          <w:szCs w:val="24"/>
        </w:rPr>
        <w:t xml:space="preserve">Version 1.0 — March 3, 2026</w:t>
      </w:r>
    </w:p>
    <w:p>
      <w:pPr>
        <w:spacing w:after="80"/>
        <w:jc w:val="center"/>
      </w:pPr>
      <w:r>
        <w:rPr>
          <w:rFonts w:ascii="Arial" w:cs="Arial" w:eastAsia="Arial" w:hAnsi="Arial"/>
          <w:b/>
          <w:bCs/>
          <w:color w:val="C00000"/>
          <w:sz w:val="24"/>
          <w:szCs w:val="24"/>
        </w:rPr>
        <w:t xml:space="preserve">CONFIDENTIAL</w:t>
      </w:r>
    </w:p>
    <w:p>
      <w:r>
        <w:br w:type="page"/>
      </w:r>
    </w:p>
    <w:p>
      <w:pPr>
        <w:pStyle w:val="Heading1"/>
        <w:spacing w:before="360" w:after="2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3864"/>
          <w:sz w:val="32"/>
          <w:szCs w:val="32"/>
        </w:rPr>
        <w:t xml:space="preserve">1. Executive Overview</w:t>
      </w:r>
    </w:p>
    <w:p>
      <w:pPr>
        <w:spacing w:after="120"/>
      </w:pPr>
      <w:r>
        <w:rPr>
          <w:rFonts w:ascii="Arial" w:cs="Arial" w:eastAsia="Arial" w:hAnsi="Arial"/>
          <w:color w:val="333333"/>
          <w:sz w:val="22"/>
          <w:szCs w:val="22"/>
        </w:rPr>
        <w:t xml:space="preserve">This document provides a comprehensive Business Process Management (BPM) decomposition of the enterprise software Intake and Onboarding lifecycle, extracted and refined from the Intake to Retirement Lifecycle Playbook. It is designed for the client’s primary objective: accelerating the intake and onboarding process while maintaining governance rigor, risk management discipline, and regulatory compliance.</w:t>
      </w:r>
    </w:p>
    <w:p>
      <w:pPr>
        <w:spacing w:after="80"/>
      </w:pPr>
    </w:p>
    <w:p>
      <w:pPr>
        <w:pStyle w:val="Heading2"/>
        <w:spacing w:before="280" w:after="160"/>
      </w:pPr>
      <w:r>
        <w:rPr>
          <w:rFonts w:ascii="Arial" w:cs="Arial" w:eastAsia="Arial" w:hAnsi="Arial"/>
          <w:b/>
          <w:bCs/>
          <w:color w:val="2E75B6"/>
          <w:sz w:val="28"/>
          <w:szCs w:val="28"/>
        </w:rPr>
        <w:t xml:space="preserve">1.1 Document Purpose and Scope</w:t>
      </w:r>
    </w:p>
    <w:p>
      <w:pPr>
        <w:spacing w:after="120"/>
      </w:pPr>
      <w:r>
        <w:rPr>
          <w:rFonts w:ascii="Arial" w:cs="Arial" w:eastAsia="Arial" w:hAnsi="Arial"/>
          <w:color w:val="333333"/>
          <w:sz w:val="22"/>
          <w:szCs w:val="22"/>
        </w:rPr>
        <w:t xml:space="preserve">The purpose of this document is threefold. First, it describes the end-to-end Intake and Onboarding process as a formally modeled BPM process, including all sub-processes, activities, tasks, and sub-tasks. Second, it defines the Decision Model and Notation (DMN) decision tables associated with every routing, classification, and approval activity. Third, it identifies all dependencies required for the process to operate, including knowledge bases, reference data, technology platforms, organizational roles, and integration points.</w:t>
      </w:r>
    </w:p>
    <w:p>
      <w:pPr>
        <w:spacing w:after="80"/>
      </w:pPr>
    </w:p>
    <w:p>
      <w:pPr>
        <w:pStyle w:val="Heading2"/>
        <w:spacing w:before="280" w:after="160"/>
      </w:pPr>
      <w:r>
        <w:rPr>
          <w:rFonts w:ascii="Arial" w:cs="Arial" w:eastAsia="Arial" w:hAnsi="Arial"/>
          <w:b/>
          <w:bCs/>
          <w:color w:val="2E75B6"/>
          <w:sz w:val="28"/>
          <w:szCs w:val="28"/>
        </w:rPr>
        <w:t xml:space="preserve">1.2 BPM and DMN Standards Alignment</w:t>
      </w:r>
    </w:p>
    <w:p>
      <w:pPr>
        <w:spacing w:after="120"/>
      </w:pPr>
      <w:r>
        <w:rPr>
          <w:rFonts w:ascii="Arial" w:cs="Arial" w:eastAsia="Arial" w:hAnsi="Arial"/>
          <w:color w:val="333333"/>
          <w:sz w:val="22"/>
          <w:szCs w:val="22"/>
        </w:rPr>
        <w:t xml:space="preserve">All process descriptions in this document conform to BPMN 2.0 (Business Process Model and Notation) semantics. Each process is described using standard BPMN constructs: pools, lanes, activities, gateways (exclusive, parallel, inclusive, event-based), events (start, intermediate, end, boundary), data objects, message flows, and sub-processes. All decision logic is described using DMN 1.3 (Decision Model and Notation) constructs including decision tables, input/output specifications, hit policies, and decision requirement diagrams.</w:t>
      </w:r>
    </w:p>
    <w:p>
      <w:pPr>
        <w:spacing w:after="80"/>
      </w:pPr>
    </w:p>
    <w:p>
      <w:pPr>
        <w:pStyle w:val="Heading2"/>
        <w:spacing w:before="280" w:after="160"/>
      </w:pPr>
      <w:r>
        <w:rPr>
          <w:rFonts w:ascii="Arial" w:cs="Arial" w:eastAsia="Arial" w:hAnsi="Arial"/>
          <w:b/>
          <w:bCs/>
          <w:color w:val="2E75B6"/>
          <w:sz w:val="28"/>
          <w:szCs w:val="28"/>
        </w:rPr>
        <w:t xml:space="preserve">1.3 End-to-End Lifecycle Context</w:t>
      </w:r>
    </w:p>
    <w:p>
      <w:pPr>
        <w:spacing w:after="120"/>
      </w:pPr>
      <w:r>
        <w:rPr>
          <w:rFonts w:ascii="Arial" w:cs="Arial" w:eastAsia="Arial" w:hAnsi="Arial"/>
          <w:color w:val="333333"/>
          <w:sz w:val="22"/>
          <w:szCs w:val="22"/>
        </w:rPr>
        <w:t xml:space="preserve">The Intake to Retirement Lifecycle encompasses eight sequential phases. This document focuses in depth on Phases 1 through 3 (Initiation, Assessment &amp; Classification, and Onboarding &amp; Provisioning), which together constitute the Intake and Onboarding macro-process. Phases 4 through 8 are described at summary level to preserve end-to-end context.</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Coverage in This Document</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Cycle Time Target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Initiation &amp; Idea Intake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Deep BPM + DMN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3–5 days (Standard)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Assessment &amp; Classification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Deep BPM + DMN</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5–10 days (Standard)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Onboarding &amp; Provisioning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Deep BPM + DMN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10–20 days (Standard)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Architecture &amp; Design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Summary BPM</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10–15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Development &amp; Build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Summary BPM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Variable (Sprint-based)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Testing &amp; Validation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Summary BPM</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5–15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Deployment &amp; Release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Summary BPM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2–5 days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Operations through Retirement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Summary BPM</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Ongoing</w:t>
            </w:r>
          </w:p>
        </w:tc>
      </w:tr>
    </w:tbl>
    <w:p>
      <w:pPr>
        <w:spacing w:after="80"/>
      </w:pPr>
    </w:p>
    <w:p>
      <w:pPr>
        <w:pStyle w:val="Heading2"/>
        <w:spacing w:before="280" w:after="160"/>
      </w:pPr>
      <w:r>
        <w:rPr>
          <w:rFonts w:ascii="Arial" w:cs="Arial" w:eastAsia="Arial" w:hAnsi="Arial"/>
          <w:b/>
          <w:bCs/>
          <w:color w:val="2E75B6"/>
          <w:sz w:val="28"/>
          <w:szCs w:val="28"/>
        </w:rPr>
        <w:t xml:space="preserve">1.4 Acceleration Targets</w:t>
      </w:r>
    </w:p>
    <w:p>
      <w:pPr>
        <w:spacing w:after="120"/>
      </w:pPr>
      <w:r>
        <w:rPr>
          <w:rFonts w:ascii="Arial" w:cs="Arial" w:eastAsia="Arial" w:hAnsi="Arial"/>
          <w:color w:val="333333"/>
          <w:sz w:val="22"/>
          <w:szCs w:val="22"/>
        </w:rPr>
        <w:t xml:space="preserve">The primary acceleration objective is to compress the combined Intake and Onboarding cycle from the industry baseline of 90–120 days to a target of 29–45 days for standard-risk initiatives, representing a 68–75% reduction. This is achieved through five optimization layers: AI-powered intake triage and pre-population (saving 8–12 days), parallel assessment execution replacing sequential workflows (saving 12–18 days), automated provisioning and environment setup (saving 10–15 days), intelligent routing via DMN decision automation (saving 5–8 days), and continuous SLA monitoring with escalation automation (saving 3–5 days).</w:t>
      </w:r>
    </w:p>
    <w:p>
      <w:r>
        <w:br w:type="page"/>
      </w:r>
    </w:p>
    <w:p>
      <w:pPr>
        <w:pStyle w:val="Heading1"/>
        <w:spacing w:before="360" w:after="200"/>
      </w:pPr>
      <w:r>
        <w:rPr>
          <w:rFonts w:ascii="Arial" w:cs="Arial" w:eastAsia="Arial" w:hAnsi="Arial"/>
          <w:b/>
          <w:bCs/>
          <w:color w:val="1F3864"/>
          <w:sz w:val="32"/>
          <w:szCs w:val="32"/>
        </w:rPr>
        <w:t xml:space="preserve">2. End-to-End BPM Process Architecture</w:t>
      </w:r>
    </w:p>
    <w:p>
      <w:pPr>
        <w:spacing w:after="120"/>
      </w:pPr>
      <w:r>
        <w:rPr>
          <w:rFonts w:ascii="Arial" w:cs="Arial" w:eastAsia="Arial" w:hAnsi="Arial"/>
          <w:color w:val="333333"/>
          <w:sz w:val="22"/>
          <w:szCs w:val="22"/>
        </w:rPr>
        <w:t xml:space="preserve">This section describes the complete end-to-end lifecycle as a top-level BPM process, identifying all major sub-processes, their sequence flows, and interaction patterns. The architecture follows a hierarchical decomposition model: the top-level process contains phase-level sub-processes, which in turn contain activity-level sub-processes, which contain individual tasks and sub-tasks.</w:t>
      </w:r>
    </w:p>
    <w:p>
      <w:pPr>
        <w:spacing w:after="80"/>
      </w:pPr>
    </w:p>
    <w:p>
      <w:pPr>
        <w:pStyle w:val="Heading2"/>
        <w:spacing w:before="280" w:after="160"/>
      </w:pPr>
      <w:r>
        <w:rPr>
          <w:rFonts w:ascii="Arial" w:cs="Arial" w:eastAsia="Arial" w:hAnsi="Arial"/>
          <w:b/>
          <w:bCs/>
          <w:color w:val="2E75B6"/>
          <w:sz w:val="28"/>
          <w:szCs w:val="28"/>
        </w:rPr>
        <w:t xml:space="preserve">2.1 Top-Level Process: Software Intake to Retirement</w:t>
      </w:r>
    </w:p>
    <w:p>
      <w:pPr>
        <w:spacing w:after="120"/>
      </w:pPr>
      <w:r>
        <w:rPr>
          <w:rFonts w:ascii="Arial" w:cs="Arial" w:eastAsia="Arial" w:hAnsi="Arial"/>
          <w:b/>
          <w:bCs/>
          <w:color w:val="333333"/>
          <w:sz w:val="22"/>
          <w:szCs w:val="22"/>
        </w:rPr>
        <w:t xml:space="preserve">Process ID: </w:t>
      </w:r>
      <w:r>
        <w:rPr>
          <w:rFonts w:ascii="Arial" w:cs="Arial" w:eastAsia="Arial" w:hAnsi="Arial"/>
          <w:color w:val="333333"/>
          <w:sz w:val="22"/>
          <w:szCs w:val="22"/>
        </w:rPr>
        <w:t xml:space="preserve">PRC-E2E-001</w:t>
      </w:r>
    </w:p>
    <w:p>
      <w:pPr>
        <w:spacing w:after="120"/>
      </w:pPr>
      <w:r>
        <w:rPr>
          <w:rFonts w:ascii="Arial" w:cs="Arial" w:eastAsia="Arial" w:hAnsi="Arial"/>
          <w:b/>
          <w:bCs/>
          <w:color w:val="333333"/>
          <w:sz w:val="22"/>
          <w:szCs w:val="22"/>
        </w:rPr>
        <w:t xml:space="preserve">Process Name: </w:t>
      </w:r>
      <w:r>
        <w:rPr>
          <w:rFonts w:ascii="Arial" w:cs="Arial" w:eastAsia="Arial" w:hAnsi="Arial"/>
          <w:color w:val="333333"/>
          <w:sz w:val="22"/>
          <w:szCs w:val="22"/>
        </w:rPr>
        <w:t xml:space="preserve">Enterprise Software Intake to Retirement Lifecycle</w:t>
      </w:r>
    </w:p>
    <w:p>
      <w:pPr>
        <w:spacing w:after="120"/>
      </w:pPr>
      <w:r>
        <w:rPr>
          <w:rFonts w:ascii="Arial" w:cs="Arial" w:eastAsia="Arial" w:hAnsi="Arial"/>
          <w:b/>
          <w:bCs/>
          <w:color w:val="333333"/>
          <w:sz w:val="22"/>
          <w:szCs w:val="22"/>
        </w:rPr>
        <w:t xml:space="preserve">Process Owner: </w:t>
      </w:r>
      <w:r>
        <w:rPr>
          <w:rFonts w:ascii="Arial" w:cs="Arial" w:eastAsia="Arial" w:hAnsi="Arial"/>
          <w:color w:val="333333"/>
          <w:sz w:val="22"/>
          <w:szCs w:val="22"/>
        </w:rPr>
        <w:t xml:space="preserve">Enterprise Architecture Governance Board</w:t>
      </w:r>
    </w:p>
    <w:p>
      <w:pPr>
        <w:spacing w:after="120"/>
      </w:pPr>
      <w:r>
        <w:rPr>
          <w:rFonts w:ascii="Arial" w:cs="Arial" w:eastAsia="Arial" w:hAnsi="Arial"/>
          <w:b/>
          <w:bCs/>
          <w:color w:val="333333"/>
          <w:sz w:val="22"/>
          <w:szCs w:val="22"/>
        </w:rPr>
        <w:t xml:space="preserve">Trigger (Start Event): </w:t>
      </w:r>
      <w:r>
        <w:rPr>
          <w:rFonts w:ascii="Arial" w:cs="Arial" w:eastAsia="Arial" w:hAnsi="Arial"/>
          <w:color w:val="333333"/>
          <w:sz w:val="22"/>
          <w:szCs w:val="22"/>
        </w:rPr>
        <w:t xml:space="preserve">New software initiative request submitted via Intake Portal</w:t>
      </w:r>
    </w:p>
    <w:p>
      <w:pPr>
        <w:spacing w:after="120"/>
      </w:pPr>
      <w:r>
        <w:rPr>
          <w:rFonts w:ascii="Arial" w:cs="Arial" w:eastAsia="Arial" w:hAnsi="Arial"/>
          <w:b/>
          <w:bCs/>
          <w:color w:val="333333"/>
          <w:sz w:val="22"/>
          <w:szCs w:val="22"/>
        </w:rPr>
        <w:t xml:space="preserve">End Event: </w:t>
      </w:r>
      <w:r>
        <w:rPr>
          <w:rFonts w:ascii="Arial" w:cs="Arial" w:eastAsia="Arial" w:hAnsi="Arial"/>
          <w:color w:val="333333"/>
          <w:sz w:val="22"/>
          <w:szCs w:val="22"/>
        </w:rPr>
        <w:t xml:space="preserve">Software asset fully decommissioned and archived</w:t>
      </w:r>
    </w:p>
    <w:p>
      <w:pPr>
        <w:spacing w:after="80"/>
      </w:pPr>
    </w:p>
    <w:p>
      <w:pPr>
        <w:pStyle w:val="Heading3"/>
        <w:spacing w:before="200" w:after="120"/>
      </w:pPr>
      <w:r>
        <w:rPr>
          <w:rFonts w:ascii="Arial" w:cs="Arial" w:eastAsia="Arial" w:hAnsi="Arial"/>
          <w:b/>
          <w:bCs/>
          <w:color w:val="333333"/>
          <w:sz w:val="24"/>
          <w:szCs w:val="24"/>
        </w:rPr>
        <w:t xml:space="preserve">2.1.1 Process Pools and Lanes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Pool / Lane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Role</w:t>
            </w:r>
          </w:p>
        </w:tc>
        <w:tc>
          <w:tcPr>
            <w:tcW w:type="dxa" w:w="4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Responsibility Domain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Requestor Pool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Business Unit / Requestor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Idea submission, business justification, UAT sign-off</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Pool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Enterprise Governance Board</w:t>
            </w:r>
          </w:p>
        </w:tc>
        <w:tc>
          <w:tcPr>
            <w:tcW w:type="dxa" w:w="4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Approval gates, risk classification, compliance oversight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Technical Pool — Architecture Lane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Enterprise Architecture</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Solution design, integration review, standards compliance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Technical Pool — Security Lane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&amp; Compliance</w:t>
            </w:r>
          </w:p>
        </w:tc>
        <w:tc>
          <w:tcPr>
            <w:tcW w:type="dxa" w:w="4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Threat modeling, security assessment, vulnerability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Technical Pool — Development Lane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Development Teams / AI Agents</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Build, test, deploy activities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Pool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Third-Party Vendors</w:t>
            </w:r>
          </w:p>
        </w:tc>
        <w:tc>
          <w:tcPr>
            <w:tcW w:type="dxa" w:w="4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assessment, contract negotiation, SLA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Operations Pool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IT Operations / SRE</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Provisioning, monitoring, incident response, retirement</w:t>
            </w:r>
          </w:p>
        </w:tc>
      </w:tr>
    </w:tbl>
    <w:p>
      <w:pPr>
        <w:spacing w:after="80"/>
      </w:pPr>
    </w:p>
    <w:p>
      <w:pPr>
        <w:pStyle w:val="Heading3"/>
        <w:spacing w:before="200" w:after="120"/>
      </w:pPr>
      <w:r>
        <w:rPr>
          <w:rFonts w:ascii="Arial" w:cs="Arial" w:eastAsia="Arial" w:hAnsi="Arial"/>
          <w:b/>
          <w:bCs/>
          <w:color w:val="333333"/>
          <w:sz w:val="24"/>
          <w:szCs w:val="24"/>
        </w:rPr>
        <w:t xml:space="preserve">2.1.2 Phase Sequence Flow</w:t>
      </w:r>
    </w:p>
    <w:p>
      <w:pPr>
        <w:spacing w:after="120"/>
      </w:pPr>
      <w:r>
        <w:rPr>
          <w:rFonts w:ascii="Arial" w:cs="Arial" w:eastAsia="Arial" w:hAnsi="Arial"/>
          <w:color w:val="333333"/>
          <w:sz w:val="22"/>
          <w:szCs w:val="22"/>
        </w:rPr>
        <w:t xml:space="preserve">The phases execute in a primarily sequential flow with defined parallel tracks and feedback loops. Phase 1 (Initiation) flows into Phase 2 (Assessment) via an exclusive gateway that routes based on the initial risk classification. Phase 2 contains parallel assessment tracks (technical, security, vendor, compliance) that converge at a synchronization gateway before flowing to Phase 3 (Onboarding). Phase 3 contains parallel provisioning activities that converge before the Phase 3 exit gate. Phases 4–7 follow a sprint-based iterative pattern with quality gates between each. Phase 8 is triggered either by scheduled lifecycle review or by an event-based trigger (security incident, business decision, regulatory mandate).</w:t>
      </w:r>
    </w:p>
    <w:p>
      <w:pPr>
        <w:spacing w:after="80"/>
      </w:pPr>
    </w:p>
    <w:p>
      <w:pPr>
        <w:pStyle w:val="Heading2"/>
        <w:spacing w:before="280" w:after="160"/>
      </w:pPr>
      <w:r>
        <w:rPr>
          <w:rFonts w:ascii="Arial" w:cs="Arial" w:eastAsia="Arial" w:hAnsi="Arial"/>
          <w:b/>
          <w:bCs/>
          <w:color w:val="2E75B6"/>
          <w:sz w:val="28"/>
          <w:szCs w:val="28"/>
        </w:rPr>
        <w:t xml:space="preserve">2.2 Cross-Cutting Event Sub-Processes</w:t>
      </w:r>
    </w:p>
    <w:p>
      <w:pPr>
        <w:spacing w:after="120"/>
      </w:pPr>
      <w:r>
        <w:rPr>
          <w:rFonts w:ascii="Arial" w:cs="Arial" w:eastAsia="Arial" w:hAnsi="Arial"/>
          <w:color w:val="333333"/>
          <w:sz w:val="22"/>
          <w:szCs w:val="22"/>
        </w:rPr>
        <w:t xml:space="preserve">Five event sub-processes operate across all phases, triggered by boundary events at any point in the lifecycle:</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00"/>
        <w:gridCol w:w="200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Event Sub-Process</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Trigger Type</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SLA Breach Management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Timer Boundary (Non-Interrupting)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Progressive escalation at 50%, 75%, 90%, 100% of SLA thresholds; automated notifications at each level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Response within 2 hours</w:t>
            </w:r>
          </w:p>
        </w:tc>
      </w:tr>
      <w:t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Vulnerability Remediation</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Signal (Interrupting)</w:t>
            </w:r>
          </w:p>
        </w:tc>
        <w:tc>
          <w:tcPr>
            <w:tcW w:type="dxa" w:w="3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Triggered by critical vulnerability discovery; suspends current activities pending remediation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 4 hours / High: 24 hours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Incident Response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Signal (Interrupting)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or operational incident requiring immediate containment and investigation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Severity 1: 15 minutes</w:t>
            </w:r>
          </w:p>
        </w:tc>
      </w:tr>
      <w:t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Regulatory Change</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Message (Non-Interrupting)</w:t>
            </w:r>
          </w:p>
        </w:tc>
        <w:tc>
          <w:tcPr>
            <w:tcW w:type="dxa" w:w="3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Regulatory or compliance requirement change requiring impact assessment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Assessment within 5 business days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Continuous Improvement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Timer (Non-Interrupting)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 parallel improvement cycles from operational (daily) through innovation (continuous)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Cadence-dependent</w:t>
            </w:r>
          </w:p>
        </w:tc>
      </w:tr>
    </w:tbl>
    <w:p>
      <w:r>
        <w:br w:type="page"/>
      </w:r>
    </w:p>
    <w:p>
      <w:pPr>
        <w:pStyle w:val="Heading1"/>
        <w:spacing w:before="360" w:after="200"/>
      </w:pPr>
      <w:r>
        <w:rPr>
          <w:rFonts w:ascii="Arial" w:cs="Arial" w:eastAsia="Arial" w:hAnsi="Arial"/>
          <w:b/>
          <w:bCs/>
          <w:color w:val="1F3864"/>
          <w:sz w:val="32"/>
          <w:szCs w:val="32"/>
        </w:rPr>
        <w:t xml:space="preserve">3. Phase 1: Initiation &amp; Idea Intake — BPM Process Model</w:t>
      </w:r>
    </w:p>
    <w:p>
      <w:pPr>
        <w:spacing w:after="120"/>
      </w:pPr>
      <w:r>
        <w:rPr>
          <w:rFonts w:ascii="Arial" w:cs="Arial" w:eastAsia="Arial" w:hAnsi="Arial"/>
          <w:b/>
          <w:bCs/>
          <w:color w:val="333333"/>
          <w:sz w:val="22"/>
          <w:szCs w:val="22"/>
        </w:rPr>
        <w:t xml:space="preserve">Process ID: </w:t>
      </w:r>
      <w:r>
        <w:rPr>
          <w:rFonts w:ascii="Arial" w:cs="Arial" w:eastAsia="Arial" w:hAnsi="Arial"/>
          <w:color w:val="333333"/>
          <w:sz w:val="22"/>
          <w:szCs w:val="22"/>
        </w:rPr>
        <w:t xml:space="preserve">PRC-PH1-001</w:t>
      </w:r>
    </w:p>
    <w:p>
      <w:pPr>
        <w:spacing w:after="120"/>
      </w:pPr>
      <w:r>
        <w:rPr>
          <w:rFonts w:ascii="Arial" w:cs="Arial" w:eastAsia="Arial" w:hAnsi="Arial"/>
          <w:b/>
          <w:bCs/>
          <w:color w:val="333333"/>
          <w:sz w:val="22"/>
          <w:szCs w:val="22"/>
        </w:rPr>
        <w:t xml:space="preserve">Phase SLA: </w:t>
      </w:r>
      <w:r>
        <w:rPr>
          <w:rFonts w:ascii="Arial" w:cs="Arial" w:eastAsia="Arial" w:hAnsi="Arial"/>
          <w:color w:val="333333"/>
          <w:sz w:val="22"/>
          <w:szCs w:val="22"/>
        </w:rPr>
        <w:t xml:space="preserve">3–5 business days (Standard Risk) | 1–2 days (Low Risk) | 5–7 days (Critical Risk)</w:t>
      </w:r>
    </w:p>
    <w:p>
      <w:pPr>
        <w:spacing w:after="120"/>
      </w:pPr>
      <w:r>
        <w:rPr>
          <w:rFonts w:ascii="Arial" w:cs="Arial" w:eastAsia="Arial" w:hAnsi="Arial"/>
          <w:b/>
          <w:bCs/>
          <w:color w:val="333333"/>
          <w:sz w:val="22"/>
          <w:szCs w:val="22"/>
        </w:rPr>
        <w:t xml:space="preserve">Start Event: </w:t>
      </w:r>
      <w:r>
        <w:rPr>
          <w:rFonts w:ascii="Arial" w:cs="Arial" w:eastAsia="Arial" w:hAnsi="Arial"/>
          <w:color w:val="333333"/>
          <w:sz w:val="22"/>
          <w:szCs w:val="22"/>
        </w:rPr>
        <w:t xml:space="preserve">Message Start — Intake request received via portal, email, or API</w:t>
      </w:r>
    </w:p>
    <w:p>
      <w:pPr>
        <w:spacing w:after="120"/>
      </w:pPr>
      <w:r>
        <w:rPr>
          <w:rFonts w:ascii="Arial" w:cs="Arial" w:eastAsia="Arial" w:hAnsi="Arial"/>
          <w:b/>
          <w:bCs/>
          <w:color w:val="333333"/>
          <w:sz w:val="22"/>
          <w:szCs w:val="22"/>
        </w:rPr>
        <w:t xml:space="preserve">End Event: </w:t>
      </w:r>
      <w:r>
        <w:rPr>
          <w:rFonts w:ascii="Arial" w:cs="Arial" w:eastAsia="Arial" w:hAnsi="Arial"/>
          <w:color w:val="333333"/>
          <w:sz w:val="22"/>
          <w:szCs w:val="22"/>
        </w:rPr>
        <w:t xml:space="preserve">Initiative registered with unique ID, initial risk tier assigned, routed to Phase 2</w:t>
      </w:r>
    </w:p>
    <w:p>
      <w:pPr>
        <w:spacing w:after="80"/>
      </w:pPr>
    </w:p>
    <w:p>
      <w:pPr>
        <w:pStyle w:val="Heading2"/>
        <w:spacing w:before="280" w:after="160"/>
      </w:pPr>
      <w:r>
        <w:rPr>
          <w:rFonts w:ascii="Arial" w:cs="Arial" w:eastAsia="Arial" w:hAnsi="Arial"/>
          <w:b/>
          <w:bCs/>
          <w:color w:val="2E75B6"/>
          <w:sz w:val="28"/>
          <w:szCs w:val="28"/>
        </w:rPr>
        <w:t xml:space="preserve">3.1 Sub-Process: SP-1.1 — Request Capture &amp; Validation</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SP-1.1</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0.5–1 business day</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Requestor Pool → Governance Pool</w:t>
      </w:r>
    </w:p>
    <w:p>
      <w:pPr>
        <w:spacing w:after="80"/>
      </w:pPr>
    </w:p>
    <w:p>
      <w:pPr>
        <w:pStyle w:val="Heading3"/>
        <w:spacing w:before="200" w:after="120"/>
      </w:pPr>
      <w:r>
        <w:rPr>
          <w:rFonts w:ascii="Arial" w:cs="Arial" w:eastAsia="Arial" w:hAnsi="Arial"/>
          <w:b/>
          <w:bCs/>
          <w:color w:val="333333"/>
          <w:sz w:val="24"/>
          <w:szCs w:val="24"/>
        </w:rPr>
        <w:t xml:space="preserve">3.1.1 Activities and Tasks</w:t>
      </w:r>
    </w:p>
    <w:p>
      <w:pPr>
        <w:spacing w:after="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2700"/>
        <w:gridCol w:w="1400"/>
        <w:gridCol w:w="12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Submit Initiative Request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T-1.1.1.1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Requestor completes intake form: initiative name, description, business unit, sponsor, estimated budget range, requested timeline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Requestor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Self-service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A-1.1.1</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Submit Initiative Request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T-1.1.1.2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Attach supporting documents: business case draft, market analysis, preliminary requirements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Requestor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Self-service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Submit Initiative Request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T-1.1.1.3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auto-classification engine pre-populates fields based on historical patterns and NLP analysis of 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Intake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30 seconds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A-1.1.2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Validate Request Completeness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T-1.1.2.1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validates all mandatory fields are completed against intake schema</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(Automated)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 seconds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Validate Request Completeness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T-1.1.2.2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agent checks for duplicate or similar existing initiatives using semantic similarity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Intake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15 seconds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A-1.1.2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Validate Request Completeness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T-1.1.2.3</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If incomplete: return to requestor with specific field-level guidance. If duplicate detected: route to merge/append workflow</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 Requestor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 hour turnaround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Register Initiative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T-1.1.3.1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Assign unique initiative ID (format: INI-YYYY-NNNN)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(Automated)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Immediate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A-1.1.3</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Register Initiative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T-1.1.3.2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Create initiative record in governance repository with audit trail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(Automated)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Immediate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Register Initiative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T-1.1.3.3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Notify intake coordinator and assigned governance analyst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(Automated)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2 minutes</w:t>
            </w:r>
          </w:p>
        </w:tc>
      </w:tr>
    </w:tbl>
    <w:p>
      <w:pPr>
        <w:spacing w:after="80"/>
      </w:pPr>
    </w:p>
    <w:p>
      <w:pPr>
        <w:pStyle w:val="Heading2"/>
        <w:spacing w:before="280" w:after="160"/>
      </w:pPr>
      <w:r>
        <w:rPr>
          <w:rFonts w:ascii="Arial" w:cs="Arial" w:eastAsia="Arial" w:hAnsi="Arial"/>
          <w:b/>
          <w:bCs/>
          <w:color w:val="2E75B6"/>
          <w:sz w:val="28"/>
          <w:szCs w:val="28"/>
        </w:rPr>
        <w:t xml:space="preserve">3.2 Sub-Process: SP-1.2 — Initial Risk Triage</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SP-1.2</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0.5–1 business day</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Governance Pool</w:t>
      </w:r>
    </w:p>
    <w:p>
      <w:pPr>
        <w:spacing w:after="80"/>
      </w:pPr>
    </w:p>
    <w:p>
      <w:pPr>
        <w:pStyle w:val="Heading3"/>
        <w:spacing w:before="200" w:after="120"/>
      </w:pPr>
      <w:r>
        <w:rPr>
          <w:rFonts w:ascii="Arial" w:cs="Arial" w:eastAsia="Arial" w:hAnsi="Arial"/>
          <w:b/>
          <w:bCs/>
          <w:color w:val="333333"/>
          <w:sz w:val="24"/>
          <w:szCs w:val="24"/>
        </w:rPr>
        <w:t xml:space="preserve">3.2.1 Activities and Tasks</w:t>
      </w:r>
    </w:p>
    <w:p>
      <w:pPr>
        <w:spacing w:after="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Preliminary Risk Screening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T-1.2.1.1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Risk Agent scores initiative across 6 dimensions: data sensitivity, regulatory exposure, integration complexity, vendor dependency, business criticality, technology novelty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Risk Agent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2 minutes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A-1.2.1</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Preliminary Risk Screening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T-1.2.1.2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Generate composite risk score (0–100) and preliminary tier assignment (Critical/High/Medium/Low)</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Risk Agent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 minute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Preliminary Risk Screening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T-1.2.1.3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Flag any regulatory triggers: GDPR, HIPAA, PCI-DSS, SOX, AI Act based on data and domain classification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Compliance Agent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 minute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A-1.2.2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Human Review of AI Triage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T-1.2.2.1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 reviews AI risk scoring with supporting rationale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Human Review of AI Triage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T-1.2.2.2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Validate or override AI tier assignment with documented justification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Included above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A-1.2.2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Human Review of AI Triage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T-1.2.2.3</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If confidence &lt; 85%: escalate to Senior Governance Lead for second opinion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 Governance Lead</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Pathway Determination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T-1.2.3.1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Execute DMN-DT-002 (Pathway Determination) based on confirmed risk tier, initiative type, and regulatory flags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(DMN Engine)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 seconds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A-1.2.3</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Pathway Determination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T-1.2.3.2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Assign governance pathway: Express (Low), Standard, Enhanced (High), Full (Critical)</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(DMN Engine)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 seconds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Pathway Determination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T-1.2.3.3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Generate Phase 2 assessment scope matrix based on pathway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(Automated)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30 seconds</w:t>
            </w:r>
          </w:p>
        </w:tc>
      </w:tr>
    </w:tbl>
    <w:p>
      <w:pPr>
        <w:spacing w:after="80"/>
      </w:pPr>
    </w:p>
    <w:p>
      <w:pPr>
        <w:pStyle w:val="Heading2"/>
        <w:spacing w:before="280" w:after="160"/>
      </w:pPr>
      <w:r>
        <w:rPr>
          <w:rFonts w:ascii="Arial" w:cs="Arial" w:eastAsia="Arial" w:hAnsi="Arial"/>
          <w:b/>
          <w:bCs/>
          <w:color w:val="2E75B6"/>
          <w:sz w:val="28"/>
          <w:szCs w:val="28"/>
        </w:rPr>
        <w:t xml:space="preserve">3.3 Sub-Process: SP-1.3 — Business Case Evaluation</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SP-1.3</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1–2 business days</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Governance Pool + Requestor Pool</w:t>
      </w:r>
    </w:p>
    <w:p>
      <w:pPr>
        <w:spacing w:after="80"/>
      </w:pPr>
    </w:p>
    <w:p>
      <w:pPr>
        <w:pStyle w:val="Heading3"/>
        <w:spacing w:before="200" w:after="120"/>
      </w:pPr>
      <w:r>
        <w:rPr>
          <w:rFonts w:ascii="Arial" w:cs="Arial" w:eastAsia="Arial" w:hAnsi="Arial"/>
          <w:b/>
          <w:bCs/>
          <w:color w:val="333333"/>
          <w:sz w:val="24"/>
          <w:szCs w:val="24"/>
        </w:rPr>
        <w:t xml:space="preserve">3.3.1 Activities and Tasks</w:t>
      </w:r>
    </w:p>
    <w:p>
      <w:pPr>
        <w:spacing w:after="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Strategic Alignment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T-1.3.1.1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Map initiative to enterprise strategic objectives and portfolio priorities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Portfolio Manager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A-1.3.1</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Strategic Alignment Review</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T-1.3.1.2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Score strategic alignment (1–5 scale) across 4 dimensions: revenue impact, operational efficiency, risk reduction, innovation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Portfolio Manager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Included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Strategic Alignment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T-1.3.1.3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Identify portfolio conflicts, dependencies, and synergies with existing initiatives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Portfolio Manager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Included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A-1.3.2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Financial Viability Assessment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T-1.3.2.1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Validate estimated budget against portfolio allocation and funding availability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Finance Analyst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A-1.3.2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Financial Viability Assessment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T-1.3.2.2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Calculate preliminary ROI using standard model (NPV, IRR, payback period)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Finance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Included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A-1.3.3</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Initiation Gate Decision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T-1.3.3.1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Execute DMN-DT-003 (Governance Gate Decision): Approve / Conditional Approve / Defer / Reject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Engine + Governance Board</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 seconds (engine) + 1 day (board review for Critical)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A-1.3.3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Initiation Gate Decision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T-1.3.3.2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If approved: generate Phase 2 work order with scope matrix. If conditional: return to requestor with conditions. If deferred: schedule re-review. If rejected: archive with rationale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 Governance Board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Immediate (system) / 1 day (board)</w:t>
            </w:r>
          </w:p>
        </w:tc>
      </w:tr>
    </w:tbl>
    <w:p>
      <w:pPr>
        <w:spacing w:after="80"/>
      </w:pPr>
    </w:p>
    <w:p>
      <w:pPr>
        <w:pStyle w:val="Heading2"/>
        <w:spacing w:before="280" w:after="160"/>
      </w:pPr>
      <w:r>
        <w:rPr>
          <w:rFonts w:ascii="Arial" w:cs="Arial" w:eastAsia="Arial" w:hAnsi="Arial"/>
          <w:b/>
          <w:bCs/>
          <w:color w:val="2E75B6"/>
          <w:sz w:val="28"/>
          <w:szCs w:val="28"/>
        </w:rPr>
        <w:t xml:space="preserve">3.4 Phase 1 Gateway Logic</w:t>
      </w:r>
    </w:p>
    <w:p>
      <w:pPr>
        <w:spacing w:after="120"/>
      </w:pPr>
      <w:r>
        <w:rPr>
          <w:rFonts w:ascii="Arial" w:cs="Arial" w:eastAsia="Arial" w:hAnsi="Arial"/>
          <w:color w:val="333333"/>
          <w:sz w:val="22"/>
          <w:szCs w:val="22"/>
        </w:rPr>
        <w:t xml:space="preserve">Phase 1 contains three primary gateways that control flow routing:</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4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Gateway ID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Location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Routing Logic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Exclusive (XOR)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After SP-1.1 (Validation)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Complete → proceed to SP-1.2 | Incomplete → loop back to Requestor | Duplicate → route to Merge sub-process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GW-1.2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Exclusive (XOR)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After SP-1.2 (Risk Triage)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 Risk → Express pathway (skip detailed business case) | Medium/High/Critical → proceed to SP-1.3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Exclusive (XOR)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After SP-1.3 (Gate Decision)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Approved → Phase 2 | Conditional → loop to Requestor | Deferred → Backlog | Rejected → Archive</w:t>
            </w:r>
          </w:p>
        </w:tc>
      </w:tr>
    </w:tbl>
    <w:p>
      <w:r>
        <w:br w:type="page"/>
      </w:r>
    </w:p>
    <w:p>
      <w:pPr>
        <w:pStyle w:val="Heading1"/>
        <w:spacing w:before="360" w:after="200"/>
      </w:pPr>
      <w:r>
        <w:rPr>
          <w:rFonts w:ascii="Arial" w:cs="Arial" w:eastAsia="Arial" w:hAnsi="Arial"/>
          <w:b/>
          <w:bCs/>
          <w:color w:val="1F3864"/>
          <w:sz w:val="32"/>
          <w:szCs w:val="32"/>
        </w:rPr>
        <w:t xml:space="preserve">4. Phase 2: Assessment &amp; Classification — BPM Process Model</w:t>
      </w:r>
    </w:p>
    <w:p>
      <w:pPr>
        <w:spacing w:after="120"/>
      </w:pPr>
      <w:r>
        <w:rPr>
          <w:rFonts w:ascii="Arial" w:cs="Arial" w:eastAsia="Arial" w:hAnsi="Arial"/>
          <w:b/>
          <w:bCs/>
          <w:color w:val="333333"/>
          <w:sz w:val="22"/>
          <w:szCs w:val="22"/>
        </w:rPr>
        <w:t xml:space="preserve">Process ID: </w:t>
      </w:r>
      <w:r>
        <w:rPr>
          <w:rFonts w:ascii="Arial" w:cs="Arial" w:eastAsia="Arial" w:hAnsi="Arial"/>
          <w:color w:val="333333"/>
          <w:sz w:val="22"/>
          <w:szCs w:val="22"/>
        </w:rPr>
        <w:t xml:space="preserve">PRC-PH2-001</w:t>
      </w:r>
    </w:p>
    <w:p>
      <w:pPr>
        <w:spacing w:after="120"/>
      </w:pPr>
      <w:r>
        <w:rPr>
          <w:rFonts w:ascii="Arial" w:cs="Arial" w:eastAsia="Arial" w:hAnsi="Arial"/>
          <w:b/>
          <w:bCs/>
          <w:color w:val="333333"/>
          <w:sz w:val="22"/>
          <w:szCs w:val="22"/>
        </w:rPr>
        <w:t xml:space="preserve">Phase SLA: </w:t>
      </w:r>
      <w:r>
        <w:rPr>
          <w:rFonts w:ascii="Arial" w:cs="Arial" w:eastAsia="Arial" w:hAnsi="Arial"/>
          <w:color w:val="333333"/>
          <w:sz w:val="22"/>
          <w:szCs w:val="22"/>
        </w:rPr>
        <w:t xml:space="preserve">5–10 business days (Standard) | 2–3 days (Express) | 10–15 days (Full/Critical)</w:t>
      </w:r>
    </w:p>
    <w:p>
      <w:pPr>
        <w:spacing w:after="120"/>
      </w:pPr>
      <w:r>
        <w:rPr>
          <w:rFonts w:ascii="Arial" w:cs="Arial" w:eastAsia="Arial" w:hAnsi="Arial"/>
          <w:b/>
          <w:bCs/>
          <w:color w:val="333333"/>
          <w:sz w:val="22"/>
          <w:szCs w:val="22"/>
        </w:rPr>
        <w:t xml:space="preserve">Start Event: </w:t>
      </w:r>
      <w:r>
        <w:rPr>
          <w:rFonts w:ascii="Arial" w:cs="Arial" w:eastAsia="Arial" w:hAnsi="Arial"/>
          <w:color w:val="333333"/>
          <w:sz w:val="22"/>
          <w:szCs w:val="22"/>
        </w:rPr>
        <w:t xml:space="preserve">Phase 1 gate approval received with scope matrix</w:t>
      </w:r>
    </w:p>
    <w:p>
      <w:pPr>
        <w:spacing w:after="120"/>
      </w:pPr>
      <w:r>
        <w:rPr>
          <w:rFonts w:ascii="Arial" w:cs="Arial" w:eastAsia="Arial" w:hAnsi="Arial"/>
          <w:b/>
          <w:bCs/>
          <w:color w:val="333333"/>
          <w:sz w:val="22"/>
          <w:szCs w:val="22"/>
        </w:rPr>
        <w:t xml:space="preserve">End Event: </w:t>
      </w:r>
      <w:r>
        <w:rPr>
          <w:rFonts w:ascii="Arial" w:cs="Arial" w:eastAsia="Arial" w:hAnsi="Arial"/>
          <w:color w:val="333333"/>
          <w:sz w:val="22"/>
          <w:szCs w:val="22"/>
        </w:rPr>
        <w:t xml:space="preserve">Comprehensive assessment complete; final risk classification confirmed; onboarding plan approved</w:t>
      </w:r>
    </w:p>
    <w:p>
      <w:pPr>
        <w:spacing w:after="80"/>
      </w:pPr>
    </w:p>
    <w:p>
      <w:pPr>
        <w:spacing w:after="120"/>
      </w:pPr>
      <w:r>
        <w:rPr>
          <w:rFonts w:ascii="Arial" w:cs="Arial" w:eastAsia="Arial" w:hAnsi="Arial"/>
          <w:color w:val="333333"/>
          <w:sz w:val="22"/>
          <w:szCs w:val="22"/>
        </w:rPr>
        <w:t xml:space="preserve">Phase 2 is the most decision-dense phase and is modeled as a set of parallel assessment tracks that converge at a synchronization gateway. This parallelization is the primary acceleration mechanism, replacing traditional sequential assessment workflows.</w:t>
      </w:r>
    </w:p>
    <w:p>
      <w:pPr>
        <w:spacing w:after="80"/>
      </w:pPr>
    </w:p>
    <w:p>
      <w:pPr>
        <w:pStyle w:val="Heading2"/>
        <w:spacing w:before="280" w:after="160"/>
      </w:pPr>
      <w:r>
        <w:rPr>
          <w:rFonts w:ascii="Arial" w:cs="Arial" w:eastAsia="Arial" w:hAnsi="Arial"/>
          <w:b/>
          <w:bCs/>
          <w:color w:val="2E75B6"/>
          <w:sz w:val="28"/>
          <w:szCs w:val="28"/>
        </w:rPr>
        <w:t xml:space="preserve">4.1 Sub-Process: SP-2.1 — Technical Assessment</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SP-2.1</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3–5 business days (Standard) | 1–2 days (Express)</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Technical Pool — Architecture Lane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Architecture Compatibility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T-2.1.1.1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Evaluate proposed solution against enterprise reference architecture patterns and standards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Enterprise Architect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A-2.1.1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Architecture Compatibility Review</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T-2.1.1.2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Identify integration touchpoints with existing systems (API contracts, data flows, event streams)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Integration Architect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Architecture Compatibility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T-2.1.1.3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Architecture Agent generates compatibility score and flags deviations from standards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Architecture Agent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 minutes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A-2.1.2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Infrastructure Requirements Analysis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T-2.1.2.1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Define compute, storage, network, and platform requirements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Cloud Engineer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Infrastructure Requirements 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T-2.1.2.2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Capacity planning and cost projection for target deployment model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FinOps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A-2.1.3</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Technology Stack Validation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T-2.1.3.1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Validate proposed technologies against approved technology radar and lifecycle status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Enterprise Architect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A-2.1.3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Technology Stack Validation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T-2.1.3.2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Execute DMN-DT-004 (Technology Approval Decision) for any non-standard technology requests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Engine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 seconds</w:t>
            </w:r>
          </w:p>
        </w:tc>
      </w:tr>
    </w:tbl>
    <w:p>
      <w:pPr>
        <w:spacing w:after="80"/>
      </w:pPr>
    </w:p>
    <w:p>
      <w:pPr>
        <w:pStyle w:val="Heading2"/>
        <w:spacing w:before="280" w:after="160"/>
      </w:pPr>
      <w:r>
        <w:rPr>
          <w:rFonts w:ascii="Arial" w:cs="Arial" w:eastAsia="Arial" w:hAnsi="Arial"/>
          <w:b/>
          <w:bCs/>
          <w:color w:val="2E75B6"/>
          <w:sz w:val="28"/>
          <w:szCs w:val="28"/>
        </w:rPr>
        <w:t xml:space="preserve">4.2 Sub-Process: SP-2.2 — Security Assessment</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SP-2.2</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3–7 business days (Standard) | 1–2 days (Express) | 7–10 days (Critical)</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Technical Pool — Security Lane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Threat Modeling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T-2.2.1.1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Identify threat actors, attack vectors, and attack surfaces using STRIDE methodology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Architect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 days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A-2.2.1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Threat Modeling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T-2.2.1.2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Threat Agent auto-generates initial threat model based on architecture patterns and data classification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Security Agent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10 minutes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Threat Modeling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T-2.2.1.3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Human review and augmentation of AI-generated threat model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Architect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A-2.2.2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Classification &amp; Privacy Assessment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T-2.2.2.1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Classify all data elements per enterprise data classification schema (Public, Internal, Confidential, Restricted)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Privacy Officer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Classification &amp; Privacy Assessment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T-2.2.2.2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Execute Data Protection Impact Assessment (DPIA) if personal data is involved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Privacy Officer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 days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A-2.2.3</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Controls Mapping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T-2.2.3.1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Map required security controls based on risk tier and data classification using DMN-DT-005</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Engine + Security Analyst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 hour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A-2.2.3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Controls Mapping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T-2.2.3.2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Define authentication, authorization, encryption, logging, and monitoring requirements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bl>
    <w:p>
      <w:pPr>
        <w:spacing w:after="80"/>
      </w:pPr>
    </w:p>
    <w:p>
      <w:pPr>
        <w:pStyle w:val="Heading2"/>
        <w:spacing w:before="280" w:after="160"/>
      </w:pPr>
      <w:r>
        <w:rPr>
          <w:rFonts w:ascii="Arial" w:cs="Arial" w:eastAsia="Arial" w:hAnsi="Arial"/>
          <w:b/>
          <w:bCs/>
          <w:color w:val="2E75B6"/>
          <w:sz w:val="28"/>
          <w:szCs w:val="28"/>
        </w:rPr>
        <w:t xml:space="preserve">4.3 Sub-Process: SP-2.3 — Vendor Assessment (Conditional)</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SP-2.3</w:t>
      </w:r>
    </w:p>
    <w:p>
      <w:pPr>
        <w:spacing w:after="120"/>
      </w:pPr>
      <w:r>
        <w:rPr>
          <w:rFonts w:ascii="Arial" w:cs="Arial" w:eastAsia="Arial" w:hAnsi="Arial"/>
          <w:b/>
          <w:bCs/>
          <w:color w:val="333333"/>
          <w:sz w:val="22"/>
          <w:szCs w:val="22"/>
        </w:rPr>
        <w:t xml:space="preserve">Condition: </w:t>
      </w:r>
      <w:r>
        <w:rPr>
          <w:rFonts w:ascii="Arial" w:cs="Arial" w:eastAsia="Arial" w:hAnsi="Arial"/>
          <w:color w:val="333333"/>
          <w:sz w:val="22"/>
          <w:szCs w:val="22"/>
        </w:rPr>
        <w:t xml:space="preserve">Activated only when initiative involves third-party software or services</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5–10 business days (Standard) | 10–15 days (Critical Vendor)</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Vendor Pool + Governance Pool</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A-2.3.1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Risk Profiling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T-2.3.1.1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Execute four-tier vendor classification: Critical, High, Medium, Low based on DMN-DT-006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Engine + TPRM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A-2.3.1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Risk Profiling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T-2.3.1.2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Quantitative risk scoring across 8 domains: financial stability, security posture, compliance, operational resilience, geographic risk, concentration risk, technology maturity, reputation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TPRM Analyst + AI Risk Agent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 days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A-2.3.2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Due Diligence Execution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T-2.3.2.1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Collect and validate vendor security questionnaire (SIG/CAIQ)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 TPRM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3–5 days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A-2.3.2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Due Diligence Execution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T-2.3.2.2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Review SOC 2 Type II, ISO 27001, and relevant compliance certifications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TPRM Analyst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A-2.3.2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Due Diligence Execution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T-2.3.2.3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Fourth-party risk assessment: identify and evaluate vendor’s critical sub-processors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TPRM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A-2.3.3</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Contract &amp; SLA Review</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T-2.3.3.1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Review contract terms against enterprise requirements (data ownership, exit provisions, SLAs, liability)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Legal / Procurement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2–3 days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Contract &amp; SLA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T-2.3.3.2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Negotiate and finalize SLA terms with vendor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Procurement Manager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Variable</w:t>
            </w:r>
          </w:p>
        </w:tc>
      </w:tr>
    </w:tbl>
    <w:p>
      <w:pPr>
        <w:spacing w:after="80"/>
      </w:pPr>
    </w:p>
    <w:p>
      <w:pPr>
        <w:pStyle w:val="Heading2"/>
        <w:spacing w:before="280" w:after="160"/>
      </w:pPr>
      <w:r>
        <w:rPr>
          <w:rFonts w:ascii="Arial" w:cs="Arial" w:eastAsia="Arial" w:hAnsi="Arial"/>
          <w:b/>
          <w:bCs/>
          <w:color w:val="2E75B6"/>
          <w:sz w:val="28"/>
          <w:szCs w:val="28"/>
        </w:rPr>
        <w:t xml:space="preserve">4.4 Sub-Process: SP-2.4 — Compliance Assessment</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SP-2.4</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3–5 business days</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Governance Pool</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A-2.4.1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Regulatory Mapping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T-2.4.1.1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Identify applicable regulations based on data types, geographies, and industry verticals using DMN-DT-007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Engine + Compliance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A-2.4.1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Regulatory Mapping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T-2.4.1.2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Map regulatory requirements to specific control obligations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Compliance Analyst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A-2.4.2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Compliance Gap 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T-2.4.2.1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 current control coverage against required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Compliance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 days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A-2.4.2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Compliance Gap Analysis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T-2.4.2.2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Generate remediation plan for identified gaps with effort estimates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Compliance Analyst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Included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A-2.4.3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Governance Assessment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T-2.4.3.1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If AI/ML components present: execute AI risk classification per EU AI Act risk tiers (Unacceptable, High, Limited, Minimal)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Ethics Officer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A-2.4.3</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Governance Assessment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T-2.4.3.2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Define model governance requirements: explainability, bias testing, human oversight, monitoring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Ethics Officer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Included</w:t>
            </w:r>
          </w:p>
        </w:tc>
      </w:tr>
    </w:tbl>
    <w:p>
      <w:pPr>
        <w:spacing w:after="80"/>
      </w:pPr>
    </w:p>
    <w:p>
      <w:pPr>
        <w:pStyle w:val="Heading2"/>
        <w:spacing w:before="280" w:after="160"/>
      </w:pPr>
      <w:r>
        <w:rPr>
          <w:rFonts w:ascii="Arial" w:cs="Arial" w:eastAsia="Arial" w:hAnsi="Arial"/>
          <w:b/>
          <w:bCs/>
          <w:color w:val="2E75B6"/>
          <w:sz w:val="28"/>
          <w:szCs w:val="28"/>
        </w:rPr>
        <w:t xml:space="preserve">4.5 Sub-Process: SP-2.5 — Assessment Convergence &amp; Gate Decision</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SP-2.5</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1–2 business days</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Governance Pool</w:t>
      </w:r>
    </w:p>
    <w:p>
      <w:pPr>
        <w:spacing w:after="120"/>
      </w:pPr>
      <w:r>
        <w:rPr>
          <w:rFonts w:ascii="Arial" w:cs="Arial" w:eastAsia="Arial" w:hAnsi="Arial"/>
          <w:color w:val="333333"/>
          <w:sz w:val="22"/>
          <w:szCs w:val="22"/>
        </w:rPr>
        <w:t xml:space="preserve">This sub-process is triggered when all parallel assessment tracks (SP-2.1 through SP-2.4) have completed, converging at a parallel gateway (AND-join). It synthesizes findings into a consolidated assessment package and executes the Phase 2 gate decision.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A-2.5.1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Assessment Synthesis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T-2.5.1.1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Consolidate findings from all assessment tracks into unified risk and readiness report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A-2.5.1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Assessment Synthesis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T-2.5.1.2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Finalize risk classification with composite score incorporating all assessment dimensions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A-2.5.1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Assessment Synthesis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T-2.5.1.3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Generate onboarding requirements checklist based on assessment outcomes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(Automated)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 minutes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A-2.5.2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2 Gate Review</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T-2.5.2.1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Present consolidated assessment to Governance Board (Critical/High risk) or delegated authority (Medium/Low)</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Board / Delegate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 (Critical) / 4 hours (Standard)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A-2.5.2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2 Gate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T-2.5.2.2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Execute DMN-DT-003 (Governance Gate Decision): Approve to Onboard / Conditional / Remediate / Reject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Engine + Governance Board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 seconds (engine)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A-2.5.2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2 Gate Review</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T-2.5.2.3</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Generate Phase 3 onboarding plan with resource allocation, timeline, and provisioning scope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 Project Manager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bl>
    <w:p>
      <w:pPr>
        <w:spacing w:after="80"/>
      </w:pPr>
    </w:p>
    <w:p>
      <w:pPr>
        <w:pStyle w:val="Heading2"/>
        <w:spacing w:before="280" w:after="160"/>
      </w:pPr>
      <w:r>
        <w:rPr>
          <w:rFonts w:ascii="Arial" w:cs="Arial" w:eastAsia="Arial" w:hAnsi="Arial"/>
          <w:b/>
          <w:bCs/>
          <w:color w:val="2E75B6"/>
          <w:sz w:val="28"/>
          <w:szCs w:val="28"/>
        </w:rPr>
        <w:t xml:space="preserve">4.6 Phase 2 Gateway Logic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4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Gateway ID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Location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Routing Logic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Parallel (AND-split)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2 entry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Split into parallel assessment tracks: SP-2.1, SP-2.2, SP-2.3 (conditional), SP-2.4</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GW-2.2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Inclusive (OR)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SP-2.3 activation</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assessment activated if third-party software/services detected; skipped otherwise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Parallel (AND-join)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Before SP-2.5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active assessment tracks must complete before convergence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GW-2.4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Exclusive (XOR)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After SP-2.5 gate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Approved → Phase 3 | Conditional → remediation loop | Remediate → return to specific assessment | Reject → Archive</w:t>
            </w:r>
          </w:p>
        </w:tc>
      </w:tr>
    </w:tbl>
    <w:p>
      <w:r>
        <w:br w:type="page"/>
      </w:r>
    </w:p>
    <w:p>
      <w:pPr>
        <w:pStyle w:val="Heading1"/>
        <w:spacing w:before="360" w:after="200"/>
      </w:pPr>
      <w:r>
        <w:rPr>
          <w:rFonts w:ascii="Arial" w:cs="Arial" w:eastAsia="Arial" w:hAnsi="Arial"/>
          <w:b/>
          <w:bCs/>
          <w:color w:val="1F3864"/>
          <w:sz w:val="32"/>
          <w:szCs w:val="32"/>
        </w:rPr>
        <w:t xml:space="preserve">5. Phase 3: Onboarding &amp; Provisioning — BPM Process Model</w:t>
      </w:r>
    </w:p>
    <w:p>
      <w:pPr>
        <w:spacing w:after="120"/>
      </w:pPr>
      <w:r>
        <w:rPr>
          <w:rFonts w:ascii="Arial" w:cs="Arial" w:eastAsia="Arial" w:hAnsi="Arial"/>
          <w:b/>
          <w:bCs/>
          <w:color w:val="333333"/>
          <w:sz w:val="22"/>
          <w:szCs w:val="22"/>
        </w:rPr>
        <w:t xml:space="preserve">Process ID: </w:t>
      </w:r>
      <w:r>
        <w:rPr>
          <w:rFonts w:ascii="Arial" w:cs="Arial" w:eastAsia="Arial" w:hAnsi="Arial"/>
          <w:color w:val="333333"/>
          <w:sz w:val="22"/>
          <w:szCs w:val="22"/>
        </w:rPr>
        <w:t xml:space="preserve">PRC-PH3-001</w:t>
      </w:r>
    </w:p>
    <w:p>
      <w:pPr>
        <w:spacing w:after="120"/>
      </w:pPr>
      <w:r>
        <w:rPr>
          <w:rFonts w:ascii="Arial" w:cs="Arial" w:eastAsia="Arial" w:hAnsi="Arial"/>
          <w:b/>
          <w:bCs/>
          <w:color w:val="333333"/>
          <w:sz w:val="22"/>
          <w:szCs w:val="22"/>
        </w:rPr>
        <w:t xml:space="preserve">Phase SLA: </w:t>
      </w:r>
      <w:r>
        <w:rPr>
          <w:rFonts w:ascii="Arial" w:cs="Arial" w:eastAsia="Arial" w:hAnsi="Arial"/>
          <w:color w:val="333333"/>
          <w:sz w:val="22"/>
          <w:szCs w:val="22"/>
        </w:rPr>
        <w:t xml:space="preserve">10–20 business days (Standard) | 5–8 days (Express) | 15–25 days (Critical)</w:t>
      </w:r>
    </w:p>
    <w:p>
      <w:pPr>
        <w:spacing w:after="120"/>
      </w:pPr>
      <w:r>
        <w:rPr>
          <w:rFonts w:ascii="Arial" w:cs="Arial" w:eastAsia="Arial" w:hAnsi="Arial"/>
          <w:b/>
          <w:bCs/>
          <w:color w:val="333333"/>
          <w:sz w:val="22"/>
          <w:szCs w:val="22"/>
        </w:rPr>
        <w:t xml:space="preserve">Start Event: </w:t>
      </w:r>
      <w:r>
        <w:rPr>
          <w:rFonts w:ascii="Arial" w:cs="Arial" w:eastAsia="Arial" w:hAnsi="Arial"/>
          <w:color w:val="333333"/>
          <w:sz w:val="22"/>
          <w:szCs w:val="22"/>
        </w:rPr>
        <w:t xml:space="preserve">Phase 2 gate approval with onboarding plan</w:t>
      </w:r>
    </w:p>
    <w:p>
      <w:pPr>
        <w:spacing w:after="120"/>
      </w:pPr>
      <w:r>
        <w:rPr>
          <w:rFonts w:ascii="Arial" w:cs="Arial" w:eastAsia="Arial" w:hAnsi="Arial"/>
          <w:b/>
          <w:bCs/>
          <w:color w:val="333333"/>
          <w:sz w:val="22"/>
          <w:szCs w:val="22"/>
        </w:rPr>
        <w:t xml:space="preserve">End Event: </w:t>
      </w:r>
      <w:r>
        <w:rPr>
          <w:rFonts w:ascii="Arial" w:cs="Arial" w:eastAsia="Arial" w:hAnsi="Arial"/>
          <w:color w:val="333333"/>
          <w:sz w:val="22"/>
          <w:szCs w:val="22"/>
        </w:rPr>
        <w:t xml:space="preserve">All environments provisioned, access granted, integrations configured, team onboarded, ready for Phase 4</w:t>
      </w:r>
    </w:p>
    <w:p>
      <w:pPr>
        <w:spacing w:after="80"/>
      </w:pPr>
    </w:p>
    <w:p>
      <w:pPr>
        <w:pStyle w:val="Heading2"/>
        <w:spacing w:before="280" w:after="160"/>
      </w:pPr>
      <w:r>
        <w:rPr>
          <w:rFonts w:ascii="Arial" w:cs="Arial" w:eastAsia="Arial" w:hAnsi="Arial"/>
          <w:b/>
          <w:bCs/>
          <w:color w:val="2E75B6"/>
          <w:sz w:val="28"/>
          <w:szCs w:val="28"/>
        </w:rPr>
        <w:t xml:space="preserve">5.1 Sub-Process: SP-3.1 — Environment Provisioning</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SP-3.1</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2–5 business days (automated) | 5–10 days (complex/hybrid)</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Operations Pool</w:t>
      </w:r>
    </w:p>
    <w:p>
      <w:pPr>
        <w:spacing w:after="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Infrastructure Provisioning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T-3.1.1.1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Execute Infrastructure-as-Code templates for development, staging, and production environments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Deployment Agent / DevOps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 hours (automated)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A-3.1.1</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Infrastructure Provisioning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T-3.1.1.2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networking: VPC, subnets, security groups, load balancers, DNS per architecture blueprint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Cloud Engineer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Infrastructure Provisioning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T-3.1.1.3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Provision container orchestration (Kubernetes namespaces, resource quotas, network policies)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Platform Engineer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A-3.1.2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Infrastructure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T-3.1.2.1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identity and access management: service accounts, RBAC policies, secrets management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Engineer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Infrastructure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T-3.1.2.2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Deploy security monitoring agents: SIEM integration, log forwarding, vulnerability scanning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Engineer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A-3.1.2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Infrastructure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T-3.1.2.3</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encryption: TLS certificates, at-rest encryption, key management per data classification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Engineer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Environment Validation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T-3.1.3.1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Execute automated environment health checks and smoke tests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(Automated)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 minutes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A-3.1.3</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Environment Validation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T-3.1.3.2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Validate security controls are operational (penetration test of infrastructure layer)</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Engineer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bl>
    <w:p>
      <w:pPr>
        <w:spacing w:after="80"/>
      </w:pPr>
    </w:p>
    <w:p>
      <w:pPr>
        <w:pStyle w:val="Heading2"/>
        <w:spacing w:before="280" w:after="160"/>
      </w:pPr>
      <w:r>
        <w:rPr>
          <w:rFonts w:ascii="Arial" w:cs="Arial" w:eastAsia="Arial" w:hAnsi="Arial"/>
          <w:b/>
          <w:bCs/>
          <w:color w:val="2E75B6"/>
          <w:sz w:val="28"/>
          <w:szCs w:val="28"/>
        </w:rPr>
        <w:t xml:space="preserve">5.2 Sub-Process: SP-3.2 — Toolchain &amp; Pipeline Setup</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SP-3.2</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2–3 business days</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Technical Pool — Development Lane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Repository &amp; CI/CD Setup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T-3.2.1.1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Create source code repositories with branch protection, code owners, and PR templates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DevOps Engineer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A-3.2.1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Repository &amp; CI/CD Setup</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T-3.2.1.2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CI/CD pipelines with build, test, security scan, and deployment stages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DevOps Engineer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Repository &amp; CI/CD Setup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T-3.2.1.3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Integrate 7-stage DevSecOps security pipeline (pre-commit through production monitoring)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Engineer / DevOps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A-3.2.2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Observability Setup</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T-3.2.2.1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application performance monitoring, distributed tracing, and log aggregation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SRE / DevOps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Observability Setup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T-3.2.2.2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Create dashboards, alerts, and SLO/SLI monitoring configurations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A-3.2.3</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Agent Configuration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T-3.2.3.1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applicable AI agents for the initiative (Code Generation, Code Review, Testing, Documentation)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Platform Team</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A-3.2.3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Agent Configuration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T-3.2.3.2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Set agent confidence thresholds and human-in-the-loop escalation rules per risk tier using DMN-DT-008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Engine / AI Platform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hour</w:t>
            </w:r>
          </w:p>
        </w:tc>
      </w:tr>
    </w:tbl>
    <w:p>
      <w:pPr>
        <w:spacing w:after="80"/>
      </w:pPr>
    </w:p>
    <w:p>
      <w:pPr>
        <w:pStyle w:val="Heading2"/>
        <w:spacing w:before="280" w:after="160"/>
      </w:pPr>
      <w:r>
        <w:rPr>
          <w:rFonts w:ascii="Arial" w:cs="Arial" w:eastAsia="Arial" w:hAnsi="Arial"/>
          <w:b/>
          <w:bCs/>
          <w:color w:val="2E75B6"/>
          <w:sz w:val="28"/>
          <w:szCs w:val="28"/>
        </w:rPr>
        <w:t xml:space="preserve">5.3 Sub-Process: SP-3.3 — Access &amp; Identity Provisioning</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SP-3.3</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1–2 business days</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Operations Pool + Governance Pool</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A-3.3.1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Team Access Provisioning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T-3.3.1.1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Create team groups in identity provider with role-based access control mappings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IAM Administrator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A-3.3.1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Team Access Provisioning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T-3.3.1.2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Provision individual user accounts with least-privilege access per data classification and role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IAM Administrator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A-3.3.1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Team Access Provisioning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T-3.3.1.3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multi-factor authentication and conditional access policies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IAM Administrator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hour</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A-3.3.2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Access (Conditional)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T-3.3.2.1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If third-party vendors require access: provision limited-scope accounts with time-bound access and enhanced monitoring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IAM Admin + Security</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A-3.3.2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Access (Conditional)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T-3.3.2.2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vendor network segmentation and data access restrictions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Network / Security Engineer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A-3.3.3</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Access Certification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T-3.3.3.1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Validate all provisioned access against approved access matrix; certify with governance sign-off</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bl>
    <w:p>
      <w:pPr>
        <w:spacing w:after="80"/>
      </w:pPr>
    </w:p>
    <w:p>
      <w:pPr>
        <w:pStyle w:val="Heading2"/>
        <w:spacing w:before="280" w:after="160"/>
      </w:pPr>
      <w:r>
        <w:rPr>
          <w:rFonts w:ascii="Arial" w:cs="Arial" w:eastAsia="Arial" w:hAnsi="Arial"/>
          <w:b/>
          <w:bCs/>
          <w:color w:val="2E75B6"/>
          <w:sz w:val="28"/>
          <w:szCs w:val="28"/>
        </w:rPr>
        <w:t xml:space="preserve">5.4 Sub-Process: SP-3.4 — Data &amp; Integration Onboarding</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SP-3.4</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3–5 business days</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Technical Pool + Operations Pool</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A-3.4.1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Environment Setup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T-3.4.1.1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Provision databases, data stores, and caching layers per architecture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Engineer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A-3.4.1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Environment Setup</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T-3.4.1.2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data governance controls: masking, encryption, access logging, retention policies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Engineer / DPO</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A-3.4.2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Integration Configuration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T-3.4.2.1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Register APIs in enterprise API gateway with rate limiting, authentication, and versioning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Integration Engineer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A-3.4.2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Integration Configuration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T-3.4.2.2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Configure event bus subscriptions and message queue connections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Integration Engineer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A-3.4.2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Integration Configuration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T-3.4.2.3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Validate integration connectivity with automated integration test suite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(Automated)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hour</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A-3.4.3</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Test Data Provisioning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T-3.4.3.1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Generate or synthesize test data sets compliant with data classification requirements (no production PII)</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Engineer / AI Agent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bl>
    <w:p>
      <w:pPr>
        <w:spacing w:after="80"/>
      </w:pPr>
    </w:p>
    <w:p>
      <w:pPr>
        <w:pStyle w:val="Heading2"/>
        <w:spacing w:before="280" w:after="160"/>
      </w:pPr>
      <w:r>
        <w:rPr>
          <w:rFonts w:ascii="Arial" w:cs="Arial" w:eastAsia="Arial" w:hAnsi="Arial"/>
          <w:b/>
          <w:bCs/>
          <w:color w:val="2E75B6"/>
          <w:sz w:val="28"/>
          <w:szCs w:val="28"/>
        </w:rPr>
        <w:t xml:space="preserve">5.5 Sub-Process: SP-3.5 — Team Onboarding &amp; Kickoff</w:t>
      </w:r>
    </w:p>
    <w:p>
      <w:pPr>
        <w:spacing w:after="120"/>
      </w:pPr>
      <w:r>
        <w:rPr>
          <w:rFonts w:ascii="Arial" w:cs="Arial" w:eastAsia="Arial" w:hAnsi="Arial"/>
          <w:b/>
          <w:bCs/>
          <w:color w:val="333333"/>
          <w:sz w:val="22"/>
          <w:szCs w:val="22"/>
        </w:rPr>
        <w:t xml:space="preserve">Sub-Process ID: </w:t>
      </w:r>
      <w:r>
        <w:rPr>
          <w:rFonts w:ascii="Arial" w:cs="Arial" w:eastAsia="Arial" w:hAnsi="Arial"/>
          <w:color w:val="333333"/>
          <w:sz w:val="22"/>
          <w:szCs w:val="22"/>
        </w:rPr>
        <w:t xml:space="preserve">SP-3.5</w:t>
      </w:r>
    </w:p>
    <w:p>
      <w:pPr>
        <w:spacing w:after="120"/>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2–3 business days</w:t>
      </w:r>
    </w:p>
    <w:p>
      <w:pPr>
        <w:spacing w:after="120"/>
      </w:pPr>
      <w:r>
        <w:rPr>
          <w:rFonts w:ascii="Arial" w:cs="Arial" w:eastAsia="Arial" w:hAnsi="Arial"/>
          <w:b/>
          <w:bCs/>
          <w:color w:val="333333"/>
          <w:sz w:val="22"/>
          <w:szCs w:val="22"/>
        </w:rPr>
        <w:t xml:space="preserve">Lane: </w:t>
      </w:r>
      <w:r>
        <w:rPr>
          <w:rFonts w:ascii="Arial" w:cs="Arial" w:eastAsia="Arial" w:hAnsi="Arial"/>
          <w:color w:val="333333"/>
          <w:sz w:val="22"/>
          <w:szCs w:val="22"/>
        </w:rPr>
        <w:t xml:space="preserve">All Pools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2700"/>
        <w:gridCol w:w="1500"/>
        <w:gridCol w:w="11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ID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A-3.5.1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Team Formation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T-3.5.1.1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Confirm team composition: product owner, tech lead, developers, QA, security champion, SRE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Resource Manager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A-3.5.1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Team Formation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T-3.5.1.2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Assign RACI matrix for all governance, development, and operational responsibilities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 Manager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A-3.5.2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Knowledge Transfer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T-3.5.2.1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Conduct governance and compliance briefing: applicable regulations, required controls, SLAs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A-3.5.2</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Knowledge Transfer</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T-3.5.2.2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Conduct technical onboarding: architecture decisions, standards, toolchain walkthrough</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 Lead / Enterprise Architect</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A-3.5.2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Knowledge Transfer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T-3.5.2.3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agent training session: how to work with agentic development tools, confidence thresholds, override procedures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Platform Team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A-3.5.3</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Initiative Kickoff</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T-3.5.3.1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Formal kickoff meeting: scope review, timeline confirmation, risk register walkthrough, escalation procedures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 Manager + All Stakeholders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A-3.5.3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Initiative Kickoff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T-3.5.3.2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Confirm Phase 4 entry criteria are met; execute Phase 3 exit gate via DMN-DT-003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Engine + PM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 seconds (engine)</w:t>
            </w:r>
          </w:p>
        </w:tc>
      </w:tr>
    </w:tbl>
    <w:p>
      <w:pPr>
        <w:spacing w:after="80"/>
      </w:pPr>
    </w:p>
    <w:p>
      <w:pPr>
        <w:pStyle w:val="Heading2"/>
        <w:spacing w:before="280" w:after="160"/>
      </w:pPr>
      <w:r>
        <w:rPr>
          <w:rFonts w:ascii="Arial" w:cs="Arial" w:eastAsia="Arial" w:hAnsi="Arial"/>
          <w:b/>
          <w:bCs/>
          <w:color w:val="2E75B6"/>
          <w:sz w:val="28"/>
          <w:szCs w:val="28"/>
        </w:rPr>
        <w:t xml:space="preserve">5.6 Phase 3 Gateway Logic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4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Gateway ID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Location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Routing Logic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GW-3.1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Parallel (AND-split)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3 entry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Split into parallel provisioning: SP-3.1, SP-3.2, SP-3.3, SP-3.4 execute concurrently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GW-3.2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Inclusive (OR)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SP-3.3 vendor branch</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access provisioning activated only if vendor involvement confirmed in Phase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GW-3.3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Parallel (AND-join)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Before SP-3.5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provisioning tracks must complete before team onboarding and kickoff</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GW-3.4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Exclusive (XOR)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3 exit gate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criteria met → Phase 4 | Outstanding items → remediation loop | Critical block → escalate to Governance Board</w:t>
            </w:r>
          </w:p>
        </w:tc>
      </w:tr>
    </w:tbl>
    <w:p>
      <w:r>
        <w:br w:type="page"/>
      </w:r>
    </w:p>
    <w:p>
      <w:pPr>
        <w:pStyle w:val="Heading1"/>
        <w:spacing w:before="360" w:after="200"/>
      </w:pPr>
      <w:r>
        <w:rPr>
          <w:rFonts w:ascii="Arial" w:cs="Arial" w:eastAsia="Arial" w:hAnsi="Arial"/>
          <w:b/>
          <w:bCs/>
          <w:color w:val="1F3864"/>
          <w:sz w:val="32"/>
          <w:szCs w:val="32"/>
        </w:rPr>
        <w:t xml:space="preserve">6. Phases 4–8: Post-Onboarding Lifecycle — Summary BPM</w:t>
      </w:r>
    </w:p>
    <w:p>
      <w:pPr>
        <w:spacing w:after="120"/>
      </w:pPr>
      <w:r>
        <w:rPr>
          <w:rFonts w:ascii="Arial" w:cs="Arial" w:eastAsia="Arial" w:hAnsi="Arial"/>
          <w:color w:val="333333"/>
          <w:sz w:val="22"/>
          <w:szCs w:val="22"/>
        </w:rPr>
        <w:t xml:space="preserve">The following phases are described at summary level to maintain end-to-end lifecycle context. Each phase follows the same BPM modeling conventions, with DMN-driven gate decisions at phase boundaries.</w:t>
      </w:r>
    </w:p>
    <w:p>
      <w:pPr>
        <w:spacing w:after="80"/>
      </w:pPr>
    </w:p>
    <w:p>
      <w:pPr>
        <w:pStyle w:val="Heading2"/>
        <w:spacing w:before="280" w:after="160"/>
      </w:pPr>
      <w:r>
        <w:rPr>
          <w:rFonts w:ascii="Arial" w:cs="Arial" w:eastAsia="Arial" w:hAnsi="Arial"/>
          <w:b/>
          <w:bCs/>
          <w:color w:val="2E75B6"/>
          <w:sz w:val="28"/>
          <w:szCs w:val="28"/>
        </w:rPr>
        <w:t xml:space="preserve">6.1 Phase 4: Architecture &amp; Design</w:t>
      </w:r>
    </w:p>
    <w:p>
      <w:pPr>
        <w:spacing w:after="120"/>
      </w:pPr>
      <w:r>
        <w:rPr>
          <w:rFonts w:ascii="Arial" w:cs="Arial" w:eastAsia="Arial" w:hAnsi="Arial"/>
          <w:b/>
          <w:bCs/>
          <w:color w:val="333333"/>
          <w:sz w:val="22"/>
          <w:szCs w:val="22"/>
        </w:rPr>
        <w:t xml:space="preserve">Process ID: </w:t>
      </w:r>
      <w:r>
        <w:rPr>
          <w:rFonts w:ascii="Arial" w:cs="Arial" w:eastAsia="Arial" w:hAnsi="Arial"/>
          <w:color w:val="333333"/>
          <w:sz w:val="22"/>
          <w:szCs w:val="22"/>
        </w:rPr>
        <w:t xml:space="preserve">PRC-PH4-001 | SLA: 10–15 business days</w:t>
      </w:r>
    </w:p>
    <w:p>
      <w:pPr>
        <w:spacing w:after="120"/>
      </w:pPr>
      <w:r>
        <w:rPr>
          <w:rFonts w:ascii="Arial" w:cs="Arial" w:eastAsia="Arial" w:hAnsi="Arial"/>
          <w:color w:val="333333"/>
          <w:sz w:val="22"/>
          <w:szCs w:val="22"/>
        </w:rPr>
        <w:t xml:space="preserve">Sub-processes include: Solution Architecture Design (SP-4.1), Integration Architecture (SP-4.2), Security Architecture (SP-4.3), Data Architecture (SP-4.4), and Architecture Review Board Gate (SP-4.5). The Architecture Review Board gate is a mandatory quality gate where the Architecture agent generates a compliance score against enterprise patterns, and human architects validate with a target confidence threshold of 90%.</w:t>
      </w:r>
    </w:p>
    <w:p>
      <w:pPr>
        <w:spacing w:after="80"/>
      </w:pPr>
    </w:p>
    <w:p>
      <w:pPr>
        <w:pStyle w:val="Heading2"/>
        <w:spacing w:before="280" w:after="160"/>
      </w:pPr>
      <w:r>
        <w:rPr>
          <w:rFonts w:ascii="Arial" w:cs="Arial" w:eastAsia="Arial" w:hAnsi="Arial"/>
          <w:b/>
          <w:bCs/>
          <w:color w:val="2E75B6"/>
          <w:sz w:val="28"/>
          <w:szCs w:val="28"/>
        </w:rPr>
        <w:t xml:space="preserve">6.2 Phase 5: Development &amp; Build</w:t>
      </w:r>
    </w:p>
    <w:p>
      <w:pPr>
        <w:spacing w:after="120"/>
      </w:pPr>
      <w:r>
        <w:rPr>
          <w:rFonts w:ascii="Arial" w:cs="Arial" w:eastAsia="Arial" w:hAnsi="Arial"/>
          <w:b/>
          <w:bCs/>
          <w:color w:val="333333"/>
          <w:sz w:val="22"/>
          <w:szCs w:val="22"/>
        </w:rPr>
        <w:t xml:space="preserve">Process ID: </w:t>
      </w:r>
      <w:r>
        <w:rPr>
          <w:rFonts w:ascii="Arial" w:cs="Arial" w:eastAsia="Arial" w:hAnsi="Arial"/>
          <w:color w:val="333333"/>
          <w:sz w:val="22"/>
          <w:szCs w:val="22"/>
        </w:rPr>
        <w:t xml:space="preserve">PRC-PH5-001 | SLA: Variable (Sprint-based)</w:t>
      </w:r>
    </w:p>
    <w:p>
      <w:pPr>
        <w:spacing w:after="120"/>
      </w:pPr>
      <w:r>
        <w:rPr>
          <w:rFonts w:ascii="Arial" w:cs="Arial" w:eastAsia="Arial" w:hAnsi="Arial"/>
          <w:color w:val="333333"/>
          <w:sz w:val="22"/>
          <w:szCs w:val="22"/>
        </w:rPr>
        <w:t xml:space="preserve">This phase operates as an iterative sub-process using agentic sprint cycles. Key sub-processes include: Sprint Planning with AI Agents (SP-5.1), Agentic Development Pipeline with self-healing code loops (SP-5.2), Code Review with AI Code Review Agent (SP-5.3), 7-Stage DevSecOps Security Pipeline (SP-5.4), and 5 Compliance Validation Gates (SP-5.5). Nine specialized AI agent roles operate as BPMN call activities with confidence-based escalation to human reviewers.</w:t>
      </w:r>
    </w:p>
    <w:p>
      <w:pPr>
        <w:spacing w:after="80"/>
      </w:pPr>
    </w:p>
    <w:p>
      <w:pPr>
        <w:pStyle w:val="Heading2"/>
        <w:spacing w:before="280" w:after="160"/>
      </w:pPr>
      <w:r>
        <w:rPr>
          <w:rFonts w:ascii="Arial" w:cs="Arial" w:eastAsia="Arial" w:hAnsi="Arial"/>
          <w:b/>
          <w:bCs/>
          <w:color w:val="2E75B6"/>
          <w:sz w:val="28"/>
          <w:szCs w:val="28"/>
        </w:rPr>
        <w:t xml:space="preserve">6.3 Phase 6: Testing &amp; Validation</w:t>
      </w:r>
    </w:p>
    <w:p>
      <w:pPr>
        <w:spacing w:after="120"/>
      </w:pPr>
      <w:r>
        <w:rPr>
          <w:rFonts w:ascii="Arial" w:cs="Arial" w:eastAsia="Arial" w:hAnsi="Arial"/>
          <w:b/>
          <w:bCs/>
          <w:color w:val="333333"/>
          <w:sz w:val="22"/>
          <w:szCs w:val="22"/>
        </w:rPr>
        <w:t xml:space="preserve">Process ID: </w:t>
      </w:r>
      <w:r>
        <w:rPr>
          <w:rFonts w:ascii="Arial" w:cs="Arial" w:eastAsia="Arial" w:hAnsi="Arial"/>
          <w:color w:val="333333"/>
          <w:sz w:val="22"/>
          <w:szCs w:val="22"/>
        </w:rPr>
        <w:t xml:space="preserve">PRC-PH6-001 | SLA: 5–15 business days</w:t>
      </w:r>
    </w:p>
    <w:p>
      <w:pPr>
        <w:spacing w:after="120"/>
      </w:pPr>
      <w:r>
        <w:rPr>
          <w:rFonts w:ascii="Arial" w:cs="Arial" w:eastAsia="Arial" w:hAnsi="Arial"/>
          <w:color w:val="333333"/>
          <w:sz w:val="22"/>
          <w:szCs w:val="22"/>
        </w:rPr>
        <w:t xml:space="preserve">Sub-processes include: AI-Augmented Test Strategy Execution (SP-6.1), Performance and Load Testing (SP-6.2), Security Validation and Penetration Testing (SP-6.3), User Acceptance Testing (SP-6.4), and Compliance Certification (SP-6.5). Testing leverages AI agents for test generation, execution optimization, and defect prediction.</w:t>
      </w:r>
    </w:p>
    <w:p>
      <w:pPr>
        <w:spacing w:after="80"/>
      </w:pPr>
    </w:p>
    <w:p>
      <w:pPr>
        <w:pStyle w:val="Heading2"/>
        <w:spacing w:before="280" w:after="160"/>
      </w:pPr>
      <w:r>
        <w:rPr>
          <w:rFonts w:ascii="Arial" w:cs="Arial" w:eastAsia="Arial" w:hAnsi="Arial"/>
          <w:b/>
          <w:bCs/>
          <w:color w:val="2E75B6"/>
          <w:sz w:val="28"/>
          <w:szCs w:val="28"/>
        </w:rPr>
        <w:t xml:space="preserve">6.4 Phase 7: Deployment &amp; Release</w:t>
      </w:r>
    </w:p>
    <w:p>
      <w:pPr>
        <w:spacing w:after="120"/>
      </w:pPr>
      <w:r>
        <w:rPr>
          <w:rFonts w:ascii="Arial" w:cs="Arial" w:eastAsia="Arial" w:hAnsi="Arial"/>
          <w:b/>
          <w:bCs/>
          <w:color w:val="333333"/>
          <w:sz w:val="22"/>
          <w:szCs w:val="22"/>
        </w:rPr>
        <w:t xml:space="preserve">Process ID: </w:t>
      </w:r>
      <w:r>
        <w:rPr>
          <w:rFonts w:ascii="Arial" w:cs="Arial" w:eastAsia="Arial" w:hAnsi="Arial"/>
          <w:color w:val="333333"/>
          <w:sz w:val="22"/>
          <w:szCs w:val="22"/>
        </w:rPr>
        <w:t xml:space="preserve">PRC-PH7-001 | SLA: 2–5 business days</w:t>
      </w:r>
    </w:p>
    <w:p>
      <w:pPr>
        <w:spacing w:after="120"/>
      </w:pPr>
      <w:r>
        <w:rPr>
          <w:rFonts w:ascii="Arial" w:cs="Arial" w:eastAsia="Arial" w:hAnsi="Arial"/>
          <w:color w:val="333333"/>
          <w:sz w:val="22"/>
          <w:szCs w:val="22"/>
        </w:rPr>
        <w:t xml:space="preserve">Sub-processes include: Release Readiness Verification (SP-7.1), Deployment Execution with blue-green or canary strategies (SP-7.2), Production Validation and Smoke Testing (SP-7.3), and Go-Live Gate with rollback criteria (SP-7.4). DMN-DT-009 governs deployment strategy selection based on risk tier, change scope, and production impact.</w:t>
      </w:r>
    </w:p>
    <w:p>
      <w:pPr>
        <w:spacing w:after="80"/>
      </w:pPr>
    </w:p>
    <w:p>
      <w:pPr>
        <w:pStyle w:val="Heading2"/>
        <w:spacing w:before="280" w:after="160"/>
      </w:pPr>
      <w:r>
        <w:rPr>
          <w:rFonts w:ascii="Arial" w:cs="Arial" w:eastAsia="Arial" w:hAnsi="Arial"/>
          <w:b/>
          <w:bCs/>
          <w:color w:val="2E75B6"/>
          <w:sz w:val="28"/>
          <w:szCs w:val="28"/>
        </w:rPr>
        <w:t xml:space="preserve">6.5 Phase 8: Operations through Retirement</w:t>
      </w:r>
    </w:p>
    <w:p>
      <w:pPr>
        <w:spacing w:after="120"/>
      </w:pPr>
      <w:r>
        <w:rPr>
          <w:rFonts w:ascii="Arial" w:cs="Arial" w:eastAsia="Arial" w:hAnsi="Arial"/>
          <w:b/>
          <w:bCs/>
          <w:color w:val="333333"/>
          <w:sz w:val="22"/>
          <w:szCs w:val="22"/>
        </w:rPr>
        <w:t xml:space="preserve">Process ID: </w:t>
      </w:r>
      <w:r>
        <w:rPr>
          <w:rFonts w:ascii="Arial" w:cs="Arial" w:eastAsia="Arial" w:hAnsi="Arial"/>
          <w:color w:val="333333"/>
          <w:sz w:val="22"/>
          <w:szCs w:val="22"/>
        </w:rPr>
        <w:t xml:space="preserve">PRC-PH8-001 | SLA: Ongoing</w:t>
      </w:r>
    </w:p>
    <w:p>
      <w:pPr>
        <w:spacing w:after="120"/>
      </w:pPr>
      <w:r>
        <w:rPr>
          <w:rFonts w:ascii="Arial" w:cs="Arial" w:eastAsia="Arial" w:hAnsi="Arial"/>
          <w:color w:val="333333"/>
          <w:sz w:val="22"/>
          <w:szCs w:val="22"/>
        </w:rPr>
        <w:t xml:space="preserve">This phase encompasses continuous operations sub-processes: Monitoring and Incident Response (SP-8.1), Change Management (SP-8.2), Continuous Improvement Cycles (SP-8.3), Lifecycle Review and Health Assessment (SP-8.4), and the 6-Phase Vendor and Software Retirement Lifecycle (SP-8.5). The retirement lifecycle includes: Retirement Trigger Assessment, Impact Analysis, Migration Planning, Data Archival, Decommissioning Execution, and Post-Retirement Validation.</w:t>
      </w:r>
    </w:p>
    <w:p>
      <w:r>
        <w:br w:type="page"/>
      </w:r>
    </w:p>
    <w:p>
      <w:pPr>
        <w:pStyle w:val="Heading1"/>
        <w:spacing w:before="360" w:after="200"/>
      </w:pPr>
      <w:r>
        <w:rPr>
          <w:rFonts w:ascii="Arial" w:cs="Arial" w:eastAsia="Arial" w:hAnsi="Arial"/>
          <w:b/>
          <w:bCs/>
          <w:color w:val="1F3864"/>
          <w:sz w:val="32"/>
          <w:szCs w:val="32"/>
        </w:rPr>
        <w:t xml:space="preserve">7. DMN Decision Models</w:t>
      </w:r>
    </w:p>
    <w:p>
      <w:pPr>
        <w:spacing w:after="120"/>
      </w:pPr>
      <w:r>
        <w:rPr>
          <w:rFonts w:ascii="Arial" w:cs="Arial" w:eastAsia="Arial" w:hAnsi="Arial"/>
          <w:color w:val="333333"/>
          <w:sz w:val="22"/>
          <w:szCs w:val="22"/>
        </w:rPr>
        <w:t xml:space="preserve">This section defines all Decision Model and Notation (DMN) decision tables used throughout the intake and onboarding lifecycle. Each decision table specifies inputs, outputs, hit policy, and the complete rule set. These tables are designed for implementation in a DMN engine (e.g., Camunda, Drools, IBM ODM) to enable automated, auditable decision execution.</w:t>
      </w:r>
    </w:p>
    <w:p>
      <w:pPr>
        <w:spacing w:after="80"/>
      </w:pPr>
    </w:p>
    <w:p>
      <w:pPr>
        <w:pStyle w:val="Heading2"/>
        <w:spacing w:before="280" w:after="160"/>
      </w:pPr>
      <w:r>
        <w:rPr>
          <w:rFonts w:ascii="Arial" w:cs="Arial" w:eastAsia="Arial" w:hAnsi="Arial"/>
          <w:b/>
          <w:bCs/>
          <w:color w:val="2E75B6"/>
          <w:sz w:val="28"/>
          <w:szCs w:val="28"/>
        </w:rPr>
        <w:t xml:space="preserve">7.1 DMN-DT-001: Risk Tier Classification</w:t>
      </w:r>
    </w:p>
    <w:p>
      <w:pPr>
        <w:spacing w:after="120"/>
      </w:pPr>
      <w:r>
        <w:rPr>
          <w:rFonts w:ascii="Arial" w:cs="Arial" w:eastAsia="Arial" w:hAnsi="Arial"/>
          <w:b/>
          <w:bCs/>
          <w:color w:val="333333"/>
          <w:sz w:val="22"/>
          <w:szCs w:val="22"/>
        </w:rPr>
        <w:t xml:space="preserve">Decision ID: </w:t>
      </w:r>
      <w:r>
        <w:rPr>
          <w:rFonts w:ascii="Arial" w:cs="Arial" w:eastAsia="Arial" w:hAnsi="Arial"/>
          <w:color w:val="333333"/>
          <w:sz w:val="22"/>
          <w:szCs w:val="22"/>
        </w:rPr>
        <w:t xml:space="preserve">DMN-DT-001</w:t>
      </w:r>
    </w:p>
    <w:p>
      <w:pPr>
        <w:spacing w:after="120"/>
      </w:pPr>
      <w:r>
        <w:rPr>
          <w:rFonts w:ascii="Arial" w:cs="Arial" w:eastAsia="Arial" w:hAnsi="Arial"/>
          <w:b/>
          <w:bCs/>
          <w:color w:val="333333"/>
          <w:sz w:val="22"/>
          <w:szCs w:val="22"/>
        </w:rPr>
        <w:t xml:space="preserve">Decision Name: </w:t>
      </w:r>
      <w:r>
        <w:rPr>
          <w:rFonts w:ascii="Arial" w:cs="Arial" w:eastAsia="Arial" w:hAnsi="Arial"/>
          <w:color w:val="333333"/>
          <w:sz w:val="22"/>
          <w:szCs w:val="22"/>
        </w:rPr>
        <w:t xml:space="preserve">Risk Tier Classification</w:t>
      </w:r>
    </w:p>
    <w:p>
      <w:pPr>
        <w:spacing w:after="120"/>
      </w:pPr>
      <w:r>
        <w:rPr>
          <w:rFonts w:ascii="Arial" w:cs="Arial" w:eastAsia="Arial" w:hAnsi="Arial"/>
          <w:b/>
          <w:bCs/>
          <w:color w:val="333333"/>
          <w:sz w:val="22"/>
          <w:szCs w:val="22"/>
        </w:rPr>
        <w:t xml:space="preserve">Hit Policy: </w:t>
      </w:r>
      <w:r>
        <w:rPr>
          <w:rFonts w:ascii="Arial" w:cs="Arial" w:eastAsia="Arial" w:hAnsi="Arial"/>
          <w:color w:val="333333"/>
          <w:sz w:val="22"/>
          <w:szCs w:val="22"/>
        </w:rPr>
        <w:t xml:space="preserve">Priority (P) — highest-priority matching rule wins</w:t>
      </w:r>
    </w:p>
    <w:p>
      <w:pPr>
        <w:spacing w:after="120"/>
      </w:pPr>
      <w:r>
        <w:rPr>
          <w:rFonts w:ascii="Arial" w:cs="Arial" w:eastAsia="Arial" w:hAnsi="Arial"/>
          <w:b/>
          <w:bCs/>
          <w:color w:val="333333"/>
          <w:sz w:val="22"/>
          <w:szCs w:val="22"/>
        </w:rPr>
        <w:t xml:space="preserve">Used In: </w:t>
      </w:r>
      <w:r>
        <w:rPr>
          <w:rFonts w:ascii="Arial" w:cs="Arial" w:eastAsia="Arial" w:hAnsi="Arial"/>
          <w:color w:val="333333"/>
          <w:sz w:val="22"/>
          <w:szCs w:val="22"/>
        </w:rPr>
        <w:t xml:space="preserve">SP-1.2 (Initial Risk Triage), SP-2.5 (Assessment Convergence)</w:t>
      </w:r>
    </w:p>
    <w:p>
      <w:pPr>
        <w:spacing w:after="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500"/>
        <w:gridCol w:w="1400"/>
        <w:gridCol w:w="1200"/>
        <w:gridCol w:w="12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 #</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Sensitivity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Regulatory Exposure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Integration Complexity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Business Criticality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Risk Tier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SLA Multiplier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Restricted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1.5x</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 (HIPAA/PCI/SOX)</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Confidential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1.25x</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Confidential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1.25x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Internal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1.0x</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Internal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Internal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0.75x</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Public</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0.75x</w:t>
            </w:r>
          </w:p>
        </w:tc>
      </w:tr>
    </w:tbl>
    <w:p>
      <w:pPr>
        <w:spacing w:after="80"/>
      </w:pPr>
    </w:p>
    <w:p>
      <w:pPr>
        <w:pStyle w:val="Heading2"/>
        <w:spacing w:before="280" w:after="160"/>
      </w:pPr>
      <w:r>
        <w:rPr>
          <w:rFonts w:ascii="Arial" w:cs="Arial" w:eastAsia="Arial" w:hAnsi="Arial"/>
          <w:b/>
          <w:bCs/>
          <w:color w:val="2E75B6"/>
          <w:sz w:val="28"/>
          <w:szCs w:val="28"/>
        </w:rPr>
        <w:t xml:space="preserve">7.2 DMN-DT-002: Governance Pathway Determination</w:t>
      </w:r>
    </w:p>
    <w:p>
      <w:pPr>
        <w:spacing w:after="120"/>
      </w:pPr>
      <w:r>
        <w:rPr>
          <w:rFonts w:ascii="Arial" w:cs="Arial" w:eastAsia="Arial" w:hAnsi="Arial"/>
          <w:b/>
          <w:bCs/>
          <w:color w:val="333333"/>
          <w:sz w:val="22"/>
          <w:szCs w:val="22"/>
        </w:rPr>
        <w:t xml:space="preserve">Decision ID: </w:t>
      </w:r>
      <w:r>
        <w:rPr>
          <w:rFonts w:ascii="Arial" w:cs="Arial" w:eastAsia="Arial" w:hAnsi="Arial"/>
          <w:color w:val="333333"/>
          <w:sz w:val="22"/>
          <w:szCs w:val="22"/>
        </w:rPr>
        <w:t xml:space="preserve">DMN-DT-002</w:t>
      </w:r>
    </w:p>
    <w:p>
      <w:pPr>
        <w:spacing w:after="120"/>
      </w:pPr>
      <w:r>
        <w:rPr>
          <w:rFonts w:ascii="Arial" w:cs="Arial" w:eastAsia="Arial" w:hAnsi="Arial"/>
          <w:b/>
          <w:bCs/>
          <w:color w:val="333333"/>
          <w:sz w:val="22"/>
          <w:szCs w:val="22"/>
        </w:rPr>
        <w:t xml:space="preserve">Decision Name: </w:t>
      </w:r>
      <w:r>
        <w:rPr>
          <w:rFonts w:ascii="Arial" w:cs="Arial" w:eastAsia="Arial" w:hAnsi="Arial"/>
          <w:color w:val="333333"/>
          <w:sz w:val="22"/>
          <w:szCs w:val="22"/>
        </w:rPr>
        <w:t xml:space="preserve">Governance Pathway Determination</w:t>
      </w:r>
    </w:p>
    <w:p>
      <w:pPr>
        <w:spacing w:after="120"/>
      </w:pPr>
      <w:r>
        <w:rPr>
          <w:rFonts w:ascii="Arial" w:cs="Arial" w:eastAsia="Arial" w:hAnsi="Arial"/>
          <w:b/>
          <w:bCs/>
          <w:color w:val="333333"/>
          <w:sz w:val="22"/>
          <w:szCs w:val="22"/>
        </w:rPr>
        <w:t xml:space="preserve">Hit Policy: </w:t>
      </w:r>
      <w:r>
        <w:rPr>
          <w:rFonts w:ascii="Arial" w:cs="Arial" w:eastAsia="Arial" w:hAnsi="Arial"/>
          <w:color w:val="333333"/>
          <w:sz w:val="22"/>
          <w:szCs w:val="22"/>
        </w:rPr>
        <w:t xml:space="preserve">Unique (U) — exactly one rule matches</w:t>
      </w:r>
    </w:p>
    <w:p>
      <w:pPr>
        <w:spacing w:after="120"/>
      </w:pPr>
      <w:r>
        <w:rPr>
          <w:rFonts w:ascii="Arial" w:cs="Arial" w:eastAsia="Arial" w:hAnsi="Arial"/>
          <w:b/>
          <w:bCs/>
          <w:color w:val="333333"/>
          <w:sz w:val="22"/>
          <w:szCs w:val="22"/>
        </w:rPr>
        <w:t xml:space="preserve">Used In: </w:t>
      </w:r>
      <w:r>
        <w:rPr>
          <w:rFonts w:ascii="Arial" w:cs="Arial" w:eastAsia="Arial" w:hAnsi="Arial"/>
          <w:color w:val="333333"/>
          <w:sz w:val="22"/>
          <w:szCs w:val="22"/>
        </w:rPr>
        <w:t xml:space="preserve">SP-1.2 (Pathway Determination)</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200"/>
        <w:gridCol w:w="1200"/>
        <w:gridCol w:w="1200"/>
        <w:gridCol w:w="2100"/>
        <w:gridCol w:w="16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 #</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 Tier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Initiative 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Estimated Budget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Pathway</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Assessment Scope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Approval Authority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Full Governance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4 assessment tracks + board 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Executive Governance Board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New Development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&gt; $500K</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Enhanced</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Technical + Security + Compliance + Optional Vendor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 Governance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Onboarding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Enhanced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4 assessment tracks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 Governance Lead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$100K–$500K</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Standard</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Technical + Security + Compliance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 (delegated)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$100K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Standard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Technical + Security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 (delegated)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Minor Enhancement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$50K</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Express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Technical (abbreviated)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Auto-approved with AI validation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COTS/SaaS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$25K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Express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(abbreviated) + Security checklist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Auto-approved with AI validation</w:t>
            </w:r>
          </w:p>
        </w:tc>
      </w:tr>
    </w:tbl>
    <w:p>
      <w:pPr>
        <w:spacing w:after="80"/>
      </w:pPr>
    </w:p>
    <w:p>
      <w:pPr>
        <w:pStyle w:val="Heading2"/>
        <w:spacing w:before="280" w:after="160"/>
      </w:pPr>
      <w:r>
        <w:rPr>
          <w:rFonts w:ascii="Arial" w:cs="Arial" w:eastAsia="Arial" w:hAnsi="Arial"/>
          <w:b/>
          <w:bCs/>
          <w:color w:val="2E75B6"/>
          <w:sz w:val="28"/>
          <w:szCs w:val="28"/>
        </w:rPr>
        <w:t xml:space="preserve">7.3 DMN-DT-003: Governance Gate Decision</w:t>
      </w:r>
    </w:p>
    <w:p>
      <w:pPr>
        <w:spacing w:after="120"/>
      </w:pPr>
      <w:r>
        <w:rPr>
          <w:rFonts w:ascii="Arial" w:cs="Arial" w:eastAsia="Arial" w:hAnsi="Arial"/>
          <w:b/>
          <w:bCs/>
          <w:color w:val="333333"/>
          <w:sz w:val="22"/>
          <w:szCs w:val="22"/>
        </w:rPr>
        <w:t xml:space="preserve">Decision ID: </w:t>
      </w:r>
      <w:r>
        <w:rPr>
          <w:rFonts w:ascii="Arial" w:cs="Arial" w:eastAsia="Arial" w:hAnsi="Arial"/>
          <w:color w:val="333333"/>
          <w:sz w:val="22"/>
          <w:szCs w:val="22"/>
        </w:rPr>
        <w:t xml:space="preserve">DMN-DT-003</w:t>
      </w:r>
    </w:p>
    <w:p>
      <w:pPr>
        <w:spacing w:after="120"/>
      </w:pPr>
      <w:r>
        <w:rPr>
          <w:rFonts w:ascii="Arial" w:cs="Arial" w:eastAsia="Arial" w:hAnsi="Arial"/>
          <w:b/>
          <w:bCs/>
          <w:color w:val="333333"/>
          <w:sz w:val="22"/>
          <w:szCs w:val="22"/>
        </w:rPr>
        <w:t xml:space="preserve">Decision Name: </w:t>
      </w:r>
      <w:r>
        <w:rPr>
          <w:rFonts w:ascii="Arial" w:cs="Arial" w:eastAsia="Arial" w:hAnsi="Arial"/>
          <w:color w:val="333333"/>
          <w:sz w:val="22"/>
          <w:szCs w:val="22"/>
        </w:rPr>
        <w:t xml:space="preserve">Governance Gate Decision</w:t>
      </w:r>
    </w:p>
    <w:p>
      <w:pPr>
        <w:spacing w:after="120"/>
      </w:pPr>
      <w:r>
        <w:rPr>
          <w:rFonts w:ascii="Arial" w:cs="Arial" w:eastAsia="Arial" w:hAnsi="Arial"/>
          <w:b/>
          <w:bCs/>
          <w:color w:val="333333"/>
          <w:sz w:val="22"/>
          <w:szCs w:val="22"/>
        </w:rPr>
        <w:t xml:space="preserve">Hit Policy: </w:t>
      </w:r>
      <w:r>
        <w:rPr>
          <w:rFonts w:ascii="Arial" w:cs="Arial" w:eastAsia="Arial" w:hAnsi="Arial"/>
          <w:color w:val="333333"/>
          <w:sz w:val="22"/>
          <w:szCs w:val="22"/>
        </w:rPr>
        <w:t xml:space="preserve">Priority (P)</w:t>
      </w:r>
    </w:p>
    <w:p>
      <w:pPr>
        <w:spacing w:after="120"/>
      </w:pPr>
      <w:r>
        <w:rPr>
          <w:rFonts w:ascii="Arial" w:cs="Arial" w:eastAsia="Arial" w:hAnsi="Arial"/>
          <w:b/>
          <w:bCs/>
          <w:color w:val="333333"/>
          <w:sz w:val="22"/>
          <w:szCs w:val="22"/>
        </w:rPr>
        <w:t xml:space="preserve">Used In: </w:t>
      </w:r>
      <w:r>
        <w:rPr>
          <w:rFonts w:ascii="Arial" w:cs="Arial" w:eastAsia="Arial" w:hAnsi="Arial"/>
          <w:color w:val="333333"/>
          <w:sz w:val="22"/>
          <w:szCs w:val="22"/>
        </w:rPr>
        <w:t xml:space="preserve">SP-1.3 (Initiation Gate), SP-2.5 (Assessment Gate), SP-3.5 (Onboarding Exit Gate), all phase gates</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000"/>
        <w:gridCol w:w="1400"/>
        <w:gridCol w:w="1100"/>
        <w:gridCol w:w="1600"/>
        <w:gridCol w:w="22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 #</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Assessment Outcome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 Score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Open Critical Findings</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Budget Approved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Decision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Next 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&gt; 0 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Remediate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Return to assessment; block progression until critical findings resolved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Fail (any track)</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 Critical</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Conditional Approve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 with mandatory remediation plan; time-bound conditions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Pass (all tracks)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Proceed to next phase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Pass (all tracks)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71–85</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 with Monitoring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Proceed with enhanced monitoring and mid-phase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Pass (all tracks)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&gt; 85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 with Conditions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Proceed with mandatory risk mitigation plan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Return to portfolio prioritization; re-evaluate in next funding cycle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Fail (critical tracks)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&gt; 85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&gt; 2 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Reject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Archive initiative; provide detailed rejection rationale</w:t>
            </w:r>
          </w:p>
        </w:tc>
      </w:tr>
    </w:tbl>
    <w:p>
      <w:pPr>
        <w:spacing w:after="80"/>
      </w:pPr>
    </w:p>
    <w:p>
      <w:pPr>
        <w:pStyle w:val="Heading2"/>
        <w:spacing w:before="280" w:after="160"/>
      </w:pPr>
      <w:r>
        <w:rPr>
          <w:rFonts w:ascii="Arial" w:cs="Arial" w:eastAsia="Arial" w:hAnsi="Arial"/>
          <w:b/>
          <w:bCs/>
          <w:color w:val="2E75B6"/>
          <w:sz w:val="28"/>
          <w:szCs w:val="28"/>
        </w:rPr>
        <w:t xml:space="preserve">7.4 DMN-DT-004: Technology Approval Decision</w:t>
      </w:r>
    </w:p>
    <w:p>
      <w:pPr>
        <w:spacing w:after="120"/>
      </w:pPr>
      <w:r>
        <w:rPr>
          <w:rFonts w:ascii="Arial" w:cs="Arial" w:eastAsia="Arial" w:hAnsi="Arial"/>
          <w:b/>
          <w:bCs/>
          <w:color w:val="333333"/>
          <w:sz w:val="22"/>
          <w:szCs w:val="22"/>
        </w:rPr>
        <w:t xml:space="preserve">Decision ID: </w:t>
      </w:r>
      <w:r>
        <w:rPr>
          <w:rFonts w:ascii="Arial" w:cs="Arial" w:eastAsia="Arial" w:hAnsi="Arial"/>
          <w:color w:val="333333"/>
          <w:sz w:val="22"/>
          <w:szCs w:val="22"/>
        </w:rPr>
        <w:t xml:space="preserve">DMN-DT-004</w:t>
      </w:r>
    </w:p>
    <w:p>
      <w:pPr>
        <w:spacing w:after="120"/>
      </w:pPr>
      <w:r>
        <w:rPr>
          <w:rFonts w:ascii="Arial" w:cs="Arial" w:eastAsia="Arial" w:hAnsi="Arial"/>
          <w:b/>
          <w:bCs/>
          <w:color w:val="333333"/>
          <w:sz w:val="22"/>
          <w:szCs w:val="22"/>
        </w:rPr>
        <w:t xml:space="preserve">Hit Policy: </w:t>
      </w:r>
      <w:r>
        <w:rPr>
          <w:rFonts w:ascii="Arial" w:cs="Arial" w:eastAsia="Arial" w:hAnsi="Arial"/>
          <w:color w:val="333333"/>
          <w:sz w:val="22"/>
          <w:szCs w:val="22"/>
        </w:rPr>
        <w:t xml:space="preserve">Unique (U)</w:t>
      </w:r>
    </w:p>
    <w:p>
      <w:pPr>
        <w:spacing w:after="120"/>
      </w:pPr>
      <w:r>
        <w:rPr>
          <w:rFonts w:ascii="Arial" w:cs="Arial" w:eastAsia="Arial" w:hAnsi="Arial"/>
          <w:b/>
          <w:bCs/>
          <w:color w:val="333333"/>
          <w:sz w:val="22"/>
          <w:szCs w:val="22"/>
        </w:rPr>
        <w:t xml:space="preserve">Used In: </w:t>
      </w:r>
      <w:r>
        <w:rPr>
          <w:rFonts w:ascii="Arial" w:cs="Arial" w:eastAsia="Arial" w:hAnsi="Arial"/>
          <w:color w:val="333333"/>
          <w:sz w:val="22"/>
          <w:szCs w:val="22"/>
        </w:rPr>
        <w:t xml:space="preserve">SP-2.1 (Technology Stack Validation)</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500"/>
        <w:gridCol w:w="1500"/>
        <w:gridCol w:w="1600"/>
        <w:gridCol w:w="23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 #</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Technology Radar Status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Enterprise Adoption Level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Security Clearance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Decision</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Conditions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Adopt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Widely Used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Auto-Approve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Adopt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Limited Use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Architecture review within 30 days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Conditional Approve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Sandbox deployment only; 90-day evaluation</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Escalate to ARB</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Architecture Review Board evaluation 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Hold/Deprecated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Reject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Technology not permitted; suggest approved alternative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Not Assessed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Hold for Security Review</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assessment must complete before technology decision</w:t>
            </w:r>
          </w:p>
        </w:tc>
      </w:tr>
    </w:tbl>
    <w:p>
      <w:pPr>
        <w:spacing w:after="80"/>
      </w:pPr>
    </w:p>
    <w:p>
      <w:pPr>
        <w:pStyle w:val="Heading2"/>
        <w:spacing w:before="280" w:after="160"/>
      </w:pPr>
      <w:r>
        <w:rPr>
          <w:rFonts w:ascii="Arial" w:cs="Arial" w:eastAsia="Arial" w:hAnsi="Arial"/>
          <w:b/>
          <w:bCs/>
          <w:color w:val="2E75B6"/>
          <w:sz w:val="28"/>
          <w:szCs w:val="28"/>
        </w:rPr>
        <w:t xml:space="preserve">7.5 DMN-DT-005: Security Controls Mapping</w:t>
      </w:r>
    </w:p>
    <w:p>
      <w:pPr>
        <w:spacing w:after="120"/>
      </w:pPr>
      <w:r>
        <w:rPr>
          <w:rFonts w:ascii="Arial" w:cs="Arial" w:eastAsia="Arial" w:hAnsi="Arial"/>
          <w:b/>
          <w:bCs/>
          <w:color w:val="333333"/>
          <w:sz w:val="22"/>
          <w:szCs w:val="22"/>
        </w:rPr>
        <w:t xml:space="preserve">Decision ID: </w:t>
      </w:r>
      <w:r>
        <w:rPr>
          <w:rFonts w:ascii="Arial" w:cs="Arial" w:eastAsia="Arial" w:hAnsi="Arial"/>
          <w:color w:val="333333"/>
          <w:sz w:val="22"/>
          <w:szCs w:val="22"/>
        </w:rPr>
        <w:t xml:space="preserve">DMN-DT-005</w:t>
      </w:r>
    </w:p>
    <w:p>
      <w:pPr>
        <w:spacing w:after="120"/>
      </w:pPr>
      <w:r>
        <w:rPr>
          <w:rFonts w:ascii="Arial" w:cs="Arial" w:eastAsia="Arial" w:hAnsi="Arial"/>
          <w:b/>
          <w:bCs/>
          <w:color w:val="333333"/>
          <w:sz w:val="22"/>
          <w:szCs w:val="22"/>
        </w:rPr>
        <w:t xml:space="preserve">Hit Policy: </w:t>
      </w:r>
      <w:r>
        <w:rPr>
          <w:rFonts w:ascii="Arial" w:cs="Arial" w:eastAsia="Arial" w:hAnsi="Arial"/>
          <w:color w:val="333333"/>
          <w:sz w:val="22"/>
          <w:szCs w:val="22"/>
        </w:rPr>
        <w:t xml:space="preserve">Collect (C+) — all matching rules aggregate</w:t>
      </w:r>
    </w:p>
    <w:p>
      <w:pPr>
        <w:spacing w:after="120"/>
      </w:pPr>
      <w:r>
        <w:rPr>
          <w:rFonts w:ascii="Arial" w:cs="Arial" w:eastAsia="Arial" w:hAnsi="Arial"/>
          <w:b/>
          <w:bCs/>
          <w:color w:val="333333"/>
          <w:sz w:val="22"/>
          <w:szCs w:val="22"/>
        </w:rPr>
        <w:t xml:space="preserve">Used In: </w:t>
      </w:r>
      <w:r>
        <w:rPr>
          <w:rFonts w:ascii="Arial" w:cs="Arial" w:eastAsia="Arial" w:hAnsi="Arial"/>
          <w:color w:val="333333"/>
          <w:sz w:val="22"/>
          <w:szCs w:val="22"/>
        </w:rPr>
        <w:t xml:space="preserve">SP-2.2 (Security Controls Mapping)</w:t>
      </w:r>
    </w:p>
    <w:p>
      <w:pPr>
        <w:spacing w:after="80"/>
      </w:pP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1500"/>
        <w:gridCol w:w="79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 #</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Classification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 Tier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Deployment Model</w:t>
            </w:r>
          </w:p>
        </w:tc>
        <w:tc>
          <w:tcPr>
            <w:tcW w:type="dxa" w:w="7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Required Controls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Restricted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7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Encryption at rest (AES-256) + in transit (TLS 1.3) + field-level encryption + HSM key management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Critical/High</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7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WAF + DDoS protection + SIEM integration + real-time alerting + 24/7 SOC monitoring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Cloud (Public)</w:t>
            </w:r>
          </w:p>
        </w:tc>
        <w:tc>
          <w:tcPr>
            <w:tcW w:type="dxa" w:w="7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CSPM + CIS benchmark compliance + cloud-native encryption + VPC isolation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Hybrid/Multi-Cloud</w:t>
            </w:r>
          </w:p>
        </w:tc>
        <w:tc>
          <w:tcPr>
            <w:tcW w:type="dxa" w:w="7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Cross-cloud identity federation + unified policy enforcement + network micro-segmentation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Confidential+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7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loss prevention (DLP) + database activity monitoring + privileged access management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Container/K8s</w:t>
            </w:r>
          </w:p>
        </w:tc>
        <w:tc>
          <w:tcPr>
            <w:tcW w:type="dxa" w:w="7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Image scanning + runtime protection + network policies + pod security standards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 (with AI/ML)</w:t>
            </w:r>
          </w:p>
        </w:tc>
        <w:tc>
          <w:tcPr>
            <w:tcW w:type="dxa" w:w="7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Model input validation + adversarial testing + output filtering + explainability logging</w:t>
            </w:r>
          </w:p>
        </w:tc>
      </w:tr>
    </w:tbl>
    <w:p>
      <w:pPr>
        <w:spacing w:after="80"/>
      </w:pPr>
    </w:p>
    <w:p>
      <w:pPr>
        <w:pStyle w:val="Heading2"/>
        <w:spacing w:before="280" w:after="160"/>
      </w:pPr>
      <w:r>
        <w:rPr>
          <w:rFonts w:ascii="Arial" w:cs="Arial" w:eastAsia="Arial" w:hAnsi="Arial"/>
          <w:b/>
          <w:bCs/>
          <w:color w:val="2E75B6"/>
          <w:sz w:val="28"/>
          <w:szCs w:val="28"/>
        </w:rPr>
        <w:t xml:space="preserve">7.6 DMN-DT-006: Vendor Risk Classification</w:t>
      </w:r>
    </w:p>
    <w:p>
      <w:pPr>
        <w:spacing w:after="120"/>
      </w:pPr>
      <w:r>
        <w:rPr>
          <w:rFonts w:ascii="Arial" w:cs="Arial" w:eastAsia="Arial" w:hAnsi="Arial"/>
          <w:b/>
          <w:bCs/>
          <w:color w:val="333333"/>
          <w:sz w:val="22"/>
          <w:szCs w:val="22"/>
        </w:rPr>
        <w:t xml:space="preserve">Decision ID: </w:t>
      </w:r>
      <w:r>
        <w:rPr>
          <w:rFonts w:ascii="Arial" w:cs="Arial" w:eastAsia="Arial" w:hAnsi="Arial"/>
          <w:color w:val="333333"/>
          <w:sz w:val="22"/>
          <w:szCs w:val="22"/>
        </w:rPr>
        <w:t xml:space="preserve">DMN-DT-006</w:t>
      </w:r>
    </w:p>
    <w:p>
      <w:pPr>
        <w:spacing w:after="120"/>
      </w:pPr>
      <w:r>
        <w:rPr>
          <w:rFonts w:ascii="Arial" w:cs="Arial" w:eastAsia="Arial" w:hAnsi="Arial"/>
          <w:b/>
          <w:bCs/>
          <w:color w:val="333333"/>
          <w:sz w:val="22"/>
          <w:szCs w:val="22"/>
        </w:rPr>
        <w:t xml:space="preserve">Hit Policy: </w:t>
      </w:r>
      <w:r>
        <w:rPr>
          <w:rFonts w:ascii="Arial" w:cs="Arial" w:eastAsia="Arial" w:hAnsi="Arial"/>
          <w:color w:val="333333"/>
          <w:sz w:val="22"/>
          <w:szCs w:val="22"/>
        </w:rPr>
        <w:t xml:space="preserve">Priority (P)</w:t>
      </w:r>
    </w:p>
    <w:p>
      <w:pPr>
        <w:spacing w:after="120"/>
      </w:pPr>
      <w:r>
        <w:rPr>
          <w:rFonts w:ascii="Arial" w:cs="Arial" w:eastAsia="Arial" w:hAnsi="Arial"/>
          <w:b/>
          <w:bCs/>
          <w:color w:val="333333"/>
          <w:sz w:val="22"/>
          <w:szCs w:val="22"/>
        </w:rPr>
        <w:t xml:space="preserve">Used In: </w:t>
      </w:r>
      <w:r>
        <w:rPr>
          <w:rFonts w:ascii="Arial" w:cs="Arial" w:eastAsia="Arial" w:hAnsi="Arial"/>
          <w:color w:val="333333"/>
          <w:sz w:val="22"/>
          <w:szCs w:val="22"/>
        </w:rPr>
        <w:t xml:space="preserve">SP-2.3 (Vendor Risk Profiling)</w:t>
      </w:r>
    </w:p>
    <w:p>
      <w:pPr>
        <w:spacing w:after="80"/>
      </w:pP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300"/>
        <w:gridCol w:w="1300"/>
        <w:gridCol w:w="1200"/>
        <w:gridCol w:w="65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 #</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Access Level</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Service Criticality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Concentration 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Vendor Tier</w:t>
            </w:r>
          </w:p>
        </w:tc>
        <w:tc>
          <w:tcPr>
            <w:tcW w:type="dxa" w:w="6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Assessment Depth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Restricted/Confidential data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Business-critical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Full due diligence (40+ controls) + on-site assessment + continuous monitoring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Internal data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Business-critical</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Sole provider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6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Full due diligence + enhanced monitoring + exit plan required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Internal data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Important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Standard due diligence (25+ controls) + quarterly review</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Limited/No data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Important</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6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Abbreviated assessment (15 controls) + annual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 data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Multiple alternatives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Checklist assessment (8 controls) + biennial review</w:t>
            </w:r>
          </w:p>
        </w:tc>
      </w:tr>
    </w:tbl>
    <w:p>
      <w:pPr>
        <w:spacing w:after="80"/>
      </w:pPr>
    </w:p>
    <w:p>
      <w:pPr>
        <w:pStyle w:val="Heading2"/>
        <w:spacing w:before="280" w:after="160"/>
      </w:pPr>
      <w:r>
        <w:rPr>
          <w:rFonts w:ascii="Arial" w:cs="Arial" w:eastAsia="Arial" w:hAnsi="Arial"/>
          <w:b/>
          <w:bCs/>
          <w:color w:val="2E75B6"/>
          <w:sz w:val="28"/>
          <w:szCs w:val="28"/>
        </w:rPr>
        <w:t xml:space="preserve">7.7 DMN-DT-007: Regulatory Applicability Mapping</w:t>
      </w:r>
    </w:p>
    <w:p>
      <w:pPr>
        <w:spacing w:after="120"/>
      </w:pPr>
      <w:r>
        <w:rPr>
          <w:rFonts w:ascii="Arial" w:cs="Arial" w:eastAsia="Arial" w:hAnsi="Arial"/>
          <w:b/>
          <w:bCs/>
          <w:color w:val="333333"/>
          <w:sz w:val="22"/>
          <w:szCs w:val="22"/>
        </w:rPr>
        <w:t xml:space="preserve">Decision ID: </w:t>
      </w:r>
      <w:r>
        <w:rPr>
          <w:rFonts w:ascii="Arial" w:cs="Arial" w:eastAsia="Arial" w:hAnsi="Arial"/>
          <w:color w:val="333333"/>
          <w:sz w:val="22"/>
          <w:szCs w:val="22"/>
        </w:rPr>
        <w:t xml:space="preserve">DMN-DT-007</w:t>
      </w:r>
    </w:p>
    <w:p>
      <w:pPr>
        <w:spacing w:after="120"/>
      </w:pPr>
      <w:r>
        <w:rPr>
          <w:rFonts w:ascii="Arial" w:cs="Arial" w:eastAsia="Arial" w:hAnsi="Arial"/>
          <w:b/>
          <w:bCs/>
          <w:color w:val="333333"/>
          <w:sz w:val="22"/>
          <w:szCs w:val="22"/>
        </w:rPr>
        <w:t xml:space="preserve">Hit Policy: </w:t>
      </w:r>
      <w:r>
        <w:rPr>
          <w:rFonts w:ascii="Arial" w:cs="Arial" w:eastAsia="Arial" w:hAnsi="Arial"/>
          <w:color w:val="333333"/>
          <w:sz w:val="22"/>
          <w:szCs w:val="22"/>
        </w:rPr>
        <w:t xml:space="preserve">Collect (C+)</w:t>
      </w:r>
    </w:p>
    <w:p>
      <w:pPr>
        <w:spacing w:after="120"/>
      </w:pPr>
      <w:r>
        <w:rPr>
          <w:rFonts w:ascii="Arial" w:cs="Arial" w:eastAsia="Arial" w:hAnsi="Arial"/>
          <w:b/>
          <w:bCs/>
          <w:color w:val="333333"/>
          <w:sz w:val="22"/>
          <w:szCs w:val="22"/>
        </w:rPr>
        <w:t xml:space="preserve">Used In: </w:t>
      </w:r>
      <w:r>
        <w:rPr>
          <w:rFonts w:ascii="Arial" w:cs="Arial" w:eastAsia="Arial" w:hAnsi="Arial"/>
          <w:color w:val="333333"/>
          <w:sz w:val="22"/>
          <w:szCs w:val="22"/>
        </w:rPr>
        <w:t xml:space="preserve">SP-2.4 (Regulatory Mapping)</w:t>
      </w:r>
    </w:p>
    <w:p>
      <w:pPr>
        <w:spacing w:after="80"/>
      </w:pP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1500"/>
        <w:gridCol w:w="6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 #</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Types Present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Geography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Industry</w:t>
            </w:r>
          </w:p>
        </w:tc>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Applicable Regulations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Personal data (EU subjects)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EU / EEA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GDPR, ePrivacy Directive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Protected health information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United States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Healthcare</w:t>
            </w:r>
          </w:p>
        </w:tc>
        <w:tc>
          <w:tcPr>
            <w:tcW w:type="dxa" w:w="6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HIPAA, HITECH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Payment card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PCI-DSS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Financial reporting data</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United States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Public company</w:t>
            </w:r>
          </w:p>
        </w:tc>
        <w:tc>
          <w:tcPr>
            <w:tcW w:type="dxa" w:w="6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AI/ML models (high-risk)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EU / EEA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EU AI Act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Consumer financial data</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United States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Financial services</w:t>
            </w:r>
          </w:p>
        </w:tc>
        <w:tc>
          <w:tcPr>
            <w:tcW w:type="dxa" w:w="6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GLBA, CCPA/CPRA, NYDFS 500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 infrastructure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United States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Infrastructure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NIST CSF, CISA requirements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6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SOC 2 Type II (baseline for all)</w:t>
            </w:r>
          </w:p>
        </w:tc>
      </w:tr>
    </w:tbl>
    <w:p>
      <w:pPr>
        <w:spacing w:after="80"/>
      </w:pPr>
    </w:p>
    <w:p>
      <w:pPr>
        <w:pStyle w:val="Heading2"/>
        <w:spacing w:before="280" w:after="160"/>
      </w:pPr>
      <w:r>
        <w:rPr>
          <w:rFonts w:ascii="Arial" w:cs="Arial" w:eastAsia="Arial" w:hAnsi="Arial"/>
          <w:b/>
          <w:bCs/>
          <w:color w:val="2E75B6"/>
          <w:sz w:val="28"/>
          <w:szCs w:val="28"/>
        </w:rPr>
        <w:t xml:space="preserve">7.8 DMN-DT-008: AI Agent Automation Level</w:t>
      </w:r>
    </w:p>
    <w:p>
      <w:pPr>
        <w:spacing w:after="120"/>
      </w:pPr>
      <w:r>
        <w:rPr>
          <w:rFonts w:ascii="Arial" w:cs="Arial" w:eastAsia="Arial" w:hAnsi="Arial"/>
          <w:b/>
          <w:bCs/>
          <w:color w:val="333333"/>
          <w:sz w:val="22"/>
          <w:szCs w:val="22"/>
        </w:rPr>
        <w:t xml:space="preserve">Decision ID: </w:t>
      </w:r>
      <w:r>
        <w:rPr>
          <w:rFonts w:ascii="Arial" w:cs="Arial" w:eastAsia="Arial" w:hAnsi="Arial"/>
          <w:color w:val="333333"/>
          <w:sz w:val="22"/>
          <w:szCs w:val="22"/>
        </w:rPr>
        <w:t xml:space="preserve">DMN-DT-008</w:t>
      </w:r>
    </w:p>
    <w:p>
      <w:pPr>
        <w:spacing w:after="120"/>
      </w:pPr>
      <w:r>
        <w:rPr>
          <w:rFonts w:ascii="Arial" w:cs="Arial" w:eastAsia="Arial" w:hAnsi="Arial"/>
          <w:b/>
          <w:bCs/>
          <w:color w:val="333333"/>
          <w:sz w:val="22"/>
          <w:szCs w:val="22"/>
        </w:rPr>
        <w:t xml:space="preserve">Hit Policy: </w:t>
      </w:r>
      <w:r>
        <w:rPr>
          <w:rFonts w:ascii="Arial" w:cs="Arial" w:eastAsia="Arial" w:hAnsi="Arial"/>
          <w:color w:val="333333"/>
          <w:sz w:val="22"/>
          <w:szCs w:val="22"/>
        </w:rPr>
        <w:t xml:space="preserve">Unique (U)</w:t>
      </w:r>
    </w:p>
    <w:p>
      <w:pPr>
        <w:spacing w:after="120"/>
      </w:pPr>
      <w:r>
        <w:rPr>
          <w:rFonts w:ascii="Arial" w:cs="Arial" w:eastAsia="Arial" w:hAnsi="Arial"/>
          <w:b/>
          <w:bCs/>
          <w:color w:val="333333"/>
          <w:sz w:val="22"/>
          <w:szCs w:val="22"/>
        </w:rPr>
        <w:t xml:space="preserve">Used In: </w:t>
      </w:r>
      <w:r>
        <w:rPr>
          <w:rFonts w:ascii="Arial" w:cs="Arial" w:eastAsia="Arial" w:hAnsi="Arial"/>
          <w:color w:val="333333"/>
          <w:sz w:val="22"/>
          <w:szCs w:val="22"/>
        </w:rPr>
        <w:t xml:space="preserve">SP-3.2 (AI Agent Configuration), Phase 5 (Development)</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1500"/>
        <w:gridCol w:w="1500"/>
        <w:gridCol w:w="27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 #</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 Tier</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Activity Type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AI Confidence Score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Automation Level</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Human Oversight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AI-Assisted (human-primary)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Mandatory human approval for all outputs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Code Generation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95%</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AI-Led with Review</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Human review of all generated code before merge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Code Generation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AI-Assisted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Human takes over; AI provides suggestions only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Code Generation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90%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AI-Autonomous</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Spot-check review (20% sampling)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Scan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AI-Autonomous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Human review of critical/high findings only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85%</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Fully Autonomous</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Exception-based review (flagged items only)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Architecture Decision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AI-Assisted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Human architect makes final decision</w:t>
            </w:r>
          </w:p>
        </w:tc>
      </w:tr>
    </w:tbl>
    <w:p>
      <w:pPr>
        <w:spacing w:after="80"/>
      </w:pPr>
    </w:p>
    <w:p>
      <w:pPr>
        <w:pStyle w:val="Heading2"/>
        <w:spacing w:before="280" w:after="160"/>
      </w:pPr>
      <w:r>
        <w:rPr>
          <w:rFonts w:ascii="Arial" w:cs="Arial" w:eastAsia="Arial" w:hAnsi="Arial"/>
          <w:b/>
          <w:bCs/>
          <w:color w:val="2E75B6"/>
          <w:sz w:val="28"/>
          <w:szCs w:val="28"/>
        </w:rPr>
        <w:t xml:space="preserve">7.9 DMN-DT-009: Deployment Strategy Selection</w:t>
      </w:r>
    </w:p>
    <w:p>
      <w:pPr>
        <w:spacing w:after="120"/>
      </w:pPr>
      <w:r>
        <w:rPr>
          <w:rFonts w:ascii="Arial" w:cs="Arial" w:eastAsia="Arial" w:hAnsi="Arial"/>
          <w:b/>
          <w:bCs/>
          <w:color w:val="333333"/>
          <w:sz w:val="22"/>
          <w:szCs w:val="22"/>
        </w:rPr>
        <w:t xml:space="preserve">Decision ID: </w:t>
      </w:r>
      <w:r>
        <w:rPr>
          <w:rFonts w:ascii="Arial" w:cs="Arial" w:eastAsia="Arial" w:hAnsi="Arial"/>
          <w:color w:val="333333"/>
          <w:sz w:val="22"/>
          <w:szCs w:val="22"/>
        </w:rPr>
        <w:t xml:space="preserve">DMN-DT-009</w:t>
      </w:r>
    </w:p>
    <w:p>
      <w:pPr>
        <w:spacing w:after="120"/>
      </w:pPr>
      <w:r>
        <w:rPr>
          <w:rFonts w:ascii="Arial" w:cs="Arial" w:eastAsia="Arial" w:hAnsi="Arial"/>
          <w:b/>
          <w:bCs/>
          <w:color w:val="333333"/>
          <w:sz w:val="22"/>
          <w:szCs w:val="22"/>
        </w:rPr>
        <w:t xml:space="preserve">Hit Policy: </w:t>
      </w:r>
      <w:r>
        <w:rPr>
          <w:rFonts w:ascii="Arial" w:cs="Arial" w:eastAsia="Arial" w:hAnsi="Arial"/>
          <w:color w:val="333333"/>
          <w:sz w:val="22"/>
          <w:szCs w:val="22"/>
        </w:rPr>
        <w:t xml:space="preserve">Unique (U)</w:t>
      </w:r>
    </w:p>
    <w:p>
      <w:pPr>
        <w:spacing w:after="120"/>
      </w:pPr>
      <w:r>
        <w:rPr>
          <w:rFonts w:ascii="Arial" w:cs="Arial" w:eastAsia="Arial" w:hAnsi="Arial"/>
          <w:b/>
          <w:bCs/>
          <w:color w:val="333333"/>
          <w:sz w:val="22"/>
          <w:szCs w:val="22"/>
        </w:rPr>
        <w:t xml:space="preserve">Used In: </w:t>
      </w:r>
      <w:r>
        <w:rPr>
          <w:rFonts w:ascii="Arial" w:cs="Arial" w:eastAsia="Arial" w:hAnsi="Arial"/>
          <w:color w:val="333333"/>
          <w:sz w:val="22"/>
          <w:szCs w:val="22"/>
        </w:rPr>
        <w:t xml:space="preserve">Phase 7 (Deployment &amp; Release)</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400"/>
        <w:gridCol w:w="1800"/>
        <w:gridCol w:w="1800"/>
        <w:gridCol w:w="20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 #</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 Tier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Change Scope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Production Impact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Strategy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Rollback Window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Blue-Green with full validation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Instant rollback; 72-hour parallel run</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Major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Canary (5% → 25% → 50% → 100%)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Instant rollback; 48-hour monitoring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Minor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Canary (10% → 50% → 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Instant rollback; 24-hour monitoring</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Rolling deployment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Automated rollback on health check failure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Minor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Direct deployment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Manual rollback within 4 hours</w:t>
            </w:r>
          </w:p>
        </w:tc>
      </w:tr>
    </w:tbl>
    <w:p>
      <w:pPr>
        <w:spacing w:after="80"/>
      </w:pPr>
    </w:p>
    <w:p>
      <w:pPr>
        <w:pStyle w:val="Heading2"/>
        <w:spacing w:before="280" w:after="160"/>
      </w:pPr>
      <w:r>
        <w:rPr>
          <w:rFonts w:ascii="Arial" w:cs="Arial" w:eastAsia="Arial" w:hAnsi="Arial"/>
          <w:b/>
          <w:bCs/>
          <w:color w:val="2E75B6"/>
          <w:sz w:val="28"/>
          <w:szCs w:val="28"/>
        </w:rPr>
        <w:t xml:space="preserve">7.10 Decision Requirement Diagram (DRD) — Intake &amp; Onboarding</w:t>
      </w:r>
    </w:p>
    <w:p>
      <w:pPr>
        <w:spacing w:after="120"/>
      </w:pPr>
      <w:r>
        <w:rPr>
          <w:rFonts w:ascii="Arial" w:cs="Arial" w:eastAsia="Arial" w:hAnsi="Arial"/>
          <w:color w:val="333333"/>
          <w:sz w:val="22"/>
          <w:szCs w:val="22"/>
        </w:rPr>
        <w:t xml:space="preserve">The DMN Decision Requirement Diagram illustrates how decisions chain together during the intake and onboarding phases. The primary decision chain flows as follows: DMN-DT-001 (Risk Tier Classification) feeds into DMN-DT-002 (Pathway Determination), which determines the scope inputs for DMN-DT-003 (Governance Gate Decision). In parallel, DMN-DT-001 feeds DMN-DT-005 (Security Controls Mapping), DMN-DT-006 (Vendor Classification), and DMN-DT-007 (Regulatory Mapping). All of these assessment decisions converge to update the risk score that DMN-DT-003 uses at the Phase 2 gate. DMN-DT-004 (Technology Approval) is invoked conditionally during SP-2.1 if non-standard technologies are proposed. DMN-DT-008 (AI Agent Automation Level) consumes the risk tier output from DMN-DT-001 to configure agent behaviors during Phase 3 onboarding.</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800"/>
        <w:gridCol w:w="3600"/>
      </w:tblGrid>
      <w:t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Decision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Input Decisions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Input Data</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 Consumers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 (root)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Initiative metadata, data classification questionnaire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DMN-DT-002, DMN-DT-005, DMN-DT-006, DMN-DT-007, DMN-DT-008</w:t>
            </w:r>
          </w:p>
        </w:tc>
      </w:tr>
      <w:tr>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Initiative type, budget estimate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DMN-DT-003, Phase 2 scope matrix</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DMN-DT-001, DMN-DT-002, SP-2.x results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Assessment outcomes, risk scores, findings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gate progression</w:t>
            </w:r>
          </w:p>
        </w:tc>
      </w:tr>
      <w:tr>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 (standalone)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Technology radar, adoption data, security status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SP-2.1 architecture review</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classification, deployment model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SP-2.2 security requirements, SP-3.1 security provisioning</w:t>
            </w:r>
          </w:p>
        </w:tc>
      </w:tr>
      <w:tr>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data access, service criticality</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SP-2.3 vendor assessment scope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 (data-driven)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types, geography, industry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SP-2.4 compliance requirements</w:t>
            </w:r>
          </w:p>
        </w:tc>
      </w:tr>
      <w:tr>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Activity type, AI confidence score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SP-3.2 agent configuration, Phase 5 development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Change scope, production impact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7 deployment execution</w:t>
            </w:r>
          </w:p>
        </w:tc>
      </w:tr>
    </w:tbl>
    <w:p>
      <w:r>
        <w:br w:type="page"/>
      </w:r>
    </w:p>
    <w:p>
      <w:pPr>
        <w:pStyle w:val="Heading1"/>
        <w:spacing w:before="360" w:after="200"/>
      </w:pPr>
      <w:r>
        <w:rPr>
          <w:rFonts w:ascii="Arial" w:cs="Arial" w:eastAsia="Arial" w:hAnsi="Arial"/>
          <w:b/>
          <w:bCs/>
          <w:color w:val="1F3864"/>
          <w:sz w:val="32"/>
          <w:szCs w:val="32"/>
        </w:rPr>
        <w:t xml:space="preserve">8. Process Dependencies</w:t>
      </w:r>
    </w:p>
    <w:p>
      <w:pPr>
        <w:spacing w:after="120"/>
      </w:pPr>
      <w:r>
        <w:rPr>
          <w:rFonts w:ascii="Arial" w:cs="Arial" w:eastAsia="Arial" w:hAnsi="Arial"/>
          <w:color w:val="333333"/>
          <w:sz w:val="22"/>
          <w:szCs w:val="22"/>
        </w:rPr>
        <w:t xml:space="preserve">This section identifies all dependencies required for the Intake and Onboarding process to operate effectively, organized by category. Each dependency includes its criticality level (Critical, High, Medium), the processes that depend on it, and the impact of unavailability.</w:t>
      </w:r>
    </w:p>
    <w:p>
      <w:pPr>
        <w:spacing w:after="80"/>
      </w:pPr>
    </w:p>
    <w:p>
      <w:pPr>
        <w:pStyle w:val="Heading2"/>
        <w:spacing w:before="280" w:after="160"/>
      </w:pPr>
      <w:r>
        <w:rPr>
          <w:rFonts w:ascii="Arial" w:cs="Arial" w:eastAsia="Arial" w:hAnsi="Arial"/>
          <w:b/>
          <w:bCs/>
          <w:color w:val="2E75B6"/>
          <w:sz w:val="28"/>
          <w:szCs w:val="28"/>
        </w:rPr>
        <w:t xml:space="preserve">8.1 Knowledge Base Dependencies</w:t>
      </w:r>
    </w:p>
    <w:p>
      <w:pPr>
        <w:spacing w:after="120"/>
      </w:pPr>
      <w:r>
        <w:rPr>
          <w:rFonts w:ascii="Arial" w:cs="Arial" w:eastAsia="Arial" w:hAnsi="Arial"/>
          <w:color w:val="333333"/>
          <w:sz w:val="22"/>
          <w:szCs w:val="22"/>
        </w:rPr>
        <w:t xml:space="preserve">The following knowledge bases must be established, maintained, and accessible for the BPM processes and DMN decision tables to execute correctly:</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500"/>
        <w:gridCol w:w="1700"/>
        <w:gridCol w:w="900"/>
        <w:gridCol w:w="19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KB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Knowledge Base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Consumed By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Criticality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Update Cadence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Enterprise Data Classification Schema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Hierarchical classification taxonomy (Public, Internal, Confidential, Restricted) with field-level classification rules and handling requirements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DMN-DT-001, DMN-DT-005, SP-2.2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Quarterly review; event-driven updates</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Technology Radar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Curated registry of approved, trial, assess, and deprecated technologies with lifecycle status, risk ratings, and approved alternatives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DMN-DT-004, SP-2.1</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updates; quarterly full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Regulatory Requirements Registry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Comprehensive mapping of applicable regulations by data type, geography, and industry with specific control requirements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DMN-DT-007, SP-2.4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Event-driven (regulatory changes); quarterly validation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Enterprise Reference Architecture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Canonical architecture patterns, integration standards, API governance rules, and technology stack specifications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SP-2.1, SP-4.x</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Bi-annual major review; continuous minor updates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Risk Intelligence 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Historical vendor assessments, risk scores, incident history, financial stability data, compliance certification status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DMN-DT-006, SP-2.3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Continuous (AI-monitored feeds); quarterly formal review</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Controls Catalog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Master catalog of security controls mapped to regulatory frameworks (NIST 800-53, ISO 27001, CIS) with implementation guidance</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DMN-DT-005, SP-2.2, SP-3.1</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Semi-annual review; event-driven updates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Historical Initiative Repository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Repository of all past initiative requests, assessments, decisions, and outcomes for AI pattern matching and duplicate detection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SP-1.1 (AI Intake Agent), SP-1.2 (AI Risk Agent)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Continuously updated (every initiative)</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KB-008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Model Registry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Registry of deployed AI/ML models with version history, performance metrics, bias assessments, and governance metadata</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DMN-DT-008, SP-2.4 (AI Governance Assessment)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Continuously updated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SLA and Performance Baseline Library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Baseline cycle times, SLA thresholds, escalation rules, and historical performance data for all process activities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Cross-cutting SLA breach management, all timer events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analysis; quarterly recalibration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KB-010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Compliance-as-Code Policy Library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Machine-readable compliance policies encoded as OPA/Rego rules, Sentinel policies, or equivalent for automated enforcement</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SP-2.4, SP-3.2 (pipeline integration)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Event-driven; monthly synchronization</w:t>
            </w:r>
          </w:p>
        </w:tc>
      </w:tr>
    </w:tbl>
    <w:p>
      <w:pPr>
        <w:spacing w:after="80"/>
      </w:pPr>
    </w:p>
    <w:p>
      <w:pPr>
        <w:pStyle w:val="Heading2"/>
        <w:spacing w:before="280" w:after="160"/>
      </w:pPr>
      <w:r>
        <w:rPr>
          <w:rFonts w:ascii="Arial" w:cs="Arial" w:eastAsia="Arial" w:hAnsi="Arial"/>
          <w:b/>
          <w:bCs/>
          <w:color w:val="2E75B6"/>
          <w:sz w:val="28"/>
          <w:szCs w:val="28"/>
        </w:rPr>
        <w:t xml:space="preserve">8.2 Technology Platform Dependencies</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400"/>
        <w:gridCol w:w="1700"/>
        <w:gridCol w:w="1000"/>
        <w:gridCol w:w="19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Dep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Platform / System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Consumed By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Criticality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Failure Impact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Intake Portal (Web Application)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Self-service initiative submission, status tracking, document upload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Intake process blocked; manual workaround required</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Repository (GRC Platform)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Initiative records, risk assessments, approval workflows, audit trail</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SP-1.x, SP-2.x, gate decisions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governance processes blocked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Execution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Automated execution of all DMN decision tables with audit logging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DMN-DT executions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Decision automation fails; manual routing required (10x slower)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AI/ML Platform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Hosts AI agents (Intake, Risk, Security, Architecture, Code) with inference endpoints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SP-1.1, SP-1.2, SP-2.x, SP-3.2, Phase 5</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acceleration lost; human-only fallback (3–5x slower)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Identity &amp; Access Management (IAM)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User provisioning, RBAC, MFA, SSO, service account management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SP-3.3, all access-controlled activities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Access provisioning blocked; security risk</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Infrastructure-as-Code Platform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Terraform/Pulumi templates for automated environment provisioning</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SP-3.1</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Manual provisioning required (5–10x slower)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CI/CD 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Pipeline orchestration, build, test, deploy automation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SP-3.2, Phases 5–7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Development velocity severely degraded</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TP-008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 Gateway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 registration, rate limiting, authentication, versioning</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SP-3.4, Phases 5–8</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Integration onboarding blocked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Observability 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APM, distributed tracing, log aggregation, dashboards, alerting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SP-3.2, Phases 5–8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Blind spots in monitoring; SLA tracking degraded</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TP-010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SIEM / SOC Platform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event correlation, incident detection, response orchestration</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SP-3.1 (security infra), cross-cutting incident response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monitoring gap; incident detection delayed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Document Management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Business case documents, architecture artifacts, assessment reports, compliance evidence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phases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Document retrieval delays; audit evidence gaps</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TP-012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Communication &amp; Notification Engine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Automated email, Slack, Teams notifications for SLA alerts, approvals, escalations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Cross-cutting SLA management, all approval workflows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Manual notification required; escalation delays</w:t>
            </w:r>
          </w:p>
        </w:tc>
      </w:tr>
    </w:tbl>
    <w:p>
      <w:pPr>
        <w:spacing w:after="80"/>
      </w:pPr>
    </w:p>
    <w:p>
      <w:pPr>
        <w:pStyle w:val="Heading2"/>
        <w:spacing w:before="280" w:after="160"/>
      </w:pPr>
      <w:r>
        <w:rPr>
          <w:rFonts w:ascii="Arial" w:cs="Arial" w:eastAsia="Arial" w:hAnsi="Arial"/>
          <w:b/>
          <w:bCs/>
          <w:color w:val="2E75B6"/>
          <w:sz w:val="28"/>
          <w:szCs w:val="28"/>
        </w:rPr>
        <w:t xml:space="preserve">8.3 Organizational Role Dependencies</w:t>
      </w:r>
    </w:p>
    <w:p>
      <w:pPr>
        <w:spacing w:after="120"/>
      </w:pPr>
      <w:r>
        <w:rPr>
          <w:rFonts w:ascii="Arial" w:cs="Arial" w:eastAsia="Arial" w:hAnsi="Arial"/>
          <w:color w:val="333333"/>
          <w:sz w:val="22"/>
          <w:szCs w:val="22"/>
        </w:rPr>
        <w:t xml:space="preserve">The following roles must be staffed and available for the process to operate within defined SLAs. Absence or understaffing of critical roles directly impacts cycle times.</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400"/>
        <w:gridCol w:w="1000"/>
        <w:gridCol w:w="22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Required Competencies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Process Involvement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Criticality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Minimum Staffing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Risk assessment, regulatory knowledge, decision framework expertise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SP-1.2, SP-1.3, SP-2.5, all gate reviews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per business unit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Enterprise Architect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Architecture patterns, integration design, technology evaluation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SP-2.1, SP-4.x, DMN-DT-004 input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per major initiative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Security Architect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Threat modeling, security controls, compliance frameworks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SP-2.2, SP-3.1 (security infra), Phase 6 security testing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per 3–5 active initiatives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TPRM Analyst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assessment, contract review, supply chain risk</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SP-2.3, ongoing vendor monitoring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per 5–8 vendor relationships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Compliance Analyst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Regulatory mapping, gap analysis, audit readiness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SP-2.4, compliance validation gates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per regulatory domain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DevOps / Platform Engineer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IaC, CI/CD, container orchestration, cloud platforms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SP-3.1, SP-3.2, Phases 5–7</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per initiative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IAM Administrator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Identity management, RBAC, MFA, secrets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Shared service; 1 per 10 initiatives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Platform Engineer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agent configuration, model management, confidence tuning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SP-3.2 (agent config), Phase 5 agent operations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per AI-enabled initiative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 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Planning, stakeholder management, governance coordination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SP-3.5, all phase coordination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per initiative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Portfolio Manager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Strategic alignment, portfolio optimization, funding allocation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SP-1.3, lifecycle reviews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per portfolio domain</w:t>
            </w:r>
          </w:p>
        </w:tc>
      </w:tr>
    </w:tbl>
    <w:p>
      <w:pPr>
        <w:spacing w:after="80"/>
      </w:pPr>
    </w:p>
    <w:p>
      <w:pPr>
        <w:pStyle w:val="Heading2"/>
        <w:spacing w:before="280" w:after="160"/>
      </w:pPr>
      <w:r>
        <w:rPr>
          <w:rFonts w:ascii="Arial" w:cs="Arial" w:eastAsia="Arial" w:hAnsi="Arial"/>
          <w:b/>
          <w:bCs/>
          <w:color w:val="2E75B6"/>
          <w:sz w:val="28"/>
          <w:szCs w:val="28"/>
        </w:rPr>
        <w:t xml:space="preserve">8.4 Data and Integration Dependencies</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00"/>
        <w:gridCol w:w="2100"/>
        <w:gridCol w:w="10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Dep 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Dependency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Consumed By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Criticality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Enterprise Service Bus / Event Mesh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Asynchronous event communication between governance, development, security, and operations platforms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SP-3.4, cross-cutting event sub-processes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DI-002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Master Data Management (MDM)</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Authoritative source for organizational data: business units, cost centers, stakeholders, application inventory</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SP-1.1 (intake form population), SP-1.3 (portfolio context)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Configuration Management Database (CMDB)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Authoritative inventory of all IT assets, relationships, and configurations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SP-2.1 (integration analysis), SP-3.1 (environment provisioning), Phase 8 (retirement)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DI-004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Secrets and Certificate Management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Centralized vault for API keys, database credentials, TLS certificates, encryption keys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SP-3.1, SP-3.2, SP-3.3, all runtime operations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HR / Directory Services Integration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Employee directory, organizational hierarchy, role assignments for automated RACI and access provisioning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SP-3.3 (access provisioning), SP-3.5 (team formation)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DI-006</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Financial Systems Integration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Budget validation, cost tracking, FinOps data for ROI calculations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SP-1.3 (financial viability), ongoing FinOps reporting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DI-007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External Threat Intelligence Feeds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Real-time vulnerability data, threat actor intelligence, CVE databases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SP-2.2 (threat modeling), cross-cutting vulnerability remediation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DI-008</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Vendor Intelligence APIs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Third-party vendor risk data (financial, security ratings, news monitoring)</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SP-2.3, DMN-DT-006, ongoing vendor monitoring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r>
    </w:tbl>
    <w:p>
      <w:pPr>
        <w:spacing w:after="80"/>
      </w:pPr>
    </w:p>
    <w:p>
      <w:pPr>
        <w:pStyle w:val="Heading2"/>
        <w:spacing w:before="280" w:after="160"/>
      </w:pPr>
      <w:r>
        <w:rPr>
          <w:rFonts w:ascii="Arial" w:cs="Arial" w:eastAsia="Arial" w:hAnsi="Arial"/>
          <w:b/>
          <w:bCs/>
          <w:color w:val="2E75B6"/>
          <w:sz w:val="28"/>
          <w:szCs w:val="28"/>
        </w:rPr>
        <w:t xml:space="preserve">8.5 Process Governance Dependencies</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700"/>
        <w:gridCol w:w="27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Dep 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Governance Dependency</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Impact if Absent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PG-001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Approved Enterprise Risk Appetite Statement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Defines acceptable risk levels by domain; calibrates DMN-DT-001 thresholds and DMN-DT-003 gate criteria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Risk classification inconsistent; gate decisions ad-hoc</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PG-002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Defined SLA Framework with Escalation Matrix</w:t>
            </w:r>
          </w:p>
        </w:tc>
        <w:tc>
          <w:tcPr>
            <w:tcW w:type="dxa" w:w="3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Specifies cycle time targets per risk tier and activity; defines escalation chains at 50/75/90/100% breach</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 automated SLA monitoring; escalations manual and delayed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PG-003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Executive Sponsorship and Governance Board Charter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Establishes authority for governance gate decisions; defines quorum and delegation rules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Gate decisions lack authority; approvals bottlenecked</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PG-004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Change Management Policy</w:t>
            </w:r>
          </w:p>
        </w:tc>
        <w:tc>
          <w:tcPr>
            <w:tcW w:type="dxa" w:w="3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Governs how changes to the BPM process itself, DMN rules, and knowledge bases are proposed, reviewed, approved, and deployed</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Process drift; uncontrolled DMN rule changes; audit findings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PG-005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Governance Policy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Defines data classification obligations, retention requirements, cross-border transfer rules, and data quality standards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classification inconsistent; regulatory non-compliance risk</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PG-006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Governance Policy</w:t>
            </w:r>
          </w:p>
        </w:tc>
        <w:tc>
          <w:tcPr>
            <w:tcW w:type="dxa" w:w="3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Establishes AI agent oversight requirements, confidence thresholds, human-in-the-loop rules, bias monitoring, and explainability standards</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Uncontrolled AI agent behavior; regulatory and reputational risk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PG-007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Continuous Improvement Charter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Defines improvement cycle cadences, metrics collection, retrospective standards, and feedback loop mechanisms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Process stagnation; no mechanism for cycle time improvement</w:t>
            </w:r>
          </w:p>
        </w:tc>
      </w:tr>
    </w:tbl>
    <w:p>
      <w:pPr>
        <w:spacing w:after="80"/>
      </w:pPr>
    </w:p>
    <w:p>
      <w:pPr>
        <w:pStyle w:val="Heading2"/>
        <w:spacing w:before="280" w:after="160"/>
      </w:pPr>
      <w:r>
        <w:rPr>
          <w:rFonts w:ascii="Arial" w:cs="Arial" w:eastAsia="Arial" w:hAnsi="Arial"/>
          <w:b/>
          <w:bCs/>
          <w:color w:val="2E75B6"/>
          <w:sz w:val="28"/>
          <w:szCs w:val="28"/>
        </w:rPr>
        <w:t xml:space="preserve">8.6 Training and Competency Dependencies</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000"/>
        <w:gridCol w:w="2700"/>
        <w:gridCol w:w="21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Dep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Training Dependency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Audience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Frequency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BPM Process Awareness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stakeholders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Understanding of end-to-end process, roles, SLAs, and escalation procedures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Annual; new hire onboarding</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TR-002</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Decision Table Training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analysts, system administrators</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Ability to interpret, validate, and maintain DMN decision tables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Semi-annual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Agent Collaboration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Development teams, QA, security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How to work with AI agents, interpret confidence scores, override procedures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Quarterly; tool updates</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TR-004</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Risk Assessment Methodology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analysts, architects, security</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Consistent application of risk scoring, threat modeling, and classification frameworks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Annual; methodology updates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Regulatory Compliance Updates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Compliance analysts, governance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Current regulatory landscape, new requirements, and impact on existing processes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Quarterly; event-driven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TR-006</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Intake Portal and Toolchain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Requestors, developers, operations</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Self-service intake submission, pipeline usage, observability dashboards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Annual; release updates</w:t>
            </w:r>
          </w:p>
        </w:tc>
      </w:tr>
    </w:tbl>
    <w:p>
      <w:r>
        <w:br w:type="page"/>
      </w:r>
    </w:p>
    <w:p>
      <w:pPr>
        <w:pStyle w:val="Heading1"/>
        <w:spacing w:before="360" w:after="200"/>
      </w:pPr>
      <w:r>
        <w:rPr>
          <w:rFonts w:ascii="Arial" w:cs="Arial" w:eastAsia="Arial" w:hAnsi="Arial"/>
          <w:b/>
          <w:bCs/>
          <w:color w:val="1F3864"/>
          <w:sz w:val="32"/>
          <w:szCs w:val="32"/>
        </w:rPr>
        <w:t xml:space="preserve">9. Process Performance Metrics and SLA Framework</w:t>
      </w:r>
    </w:p>
    <w:p>
      <w:pPr>
        <w:spacing w:after="120"/>
      </w:pPr>
      <w:r>
        <w:rPr>
          <w:rFonts w:ascii="Arial" w:cs="Arial" w:eastAsia="Arial" w:hAnsi="Arial"/>
          <w:color w:val="333333"/>
          <w:sz w:val="22"/>
          <w:szCs w:val="22"/>
        </w:rPr>
        <w:t xml:space="preserve">This section defines the key performance indicators (KPIs) and SLA monitoring framework that enables continuous measurement and improvement of the Intake and Onboarding process.</w:t>
      </w:r>
    </w:p>
    <w:p>
      <w:pPr>
        <w:spacing w:after="80"/>
      </w:pPr>
    </w:p>
    <w:p>
      <w:pPr>
        <w:pStyle w:val="Heading2"/>
        <w:spacing w:before="280" w:after="160"/>
      </w:pPr>
      <w:r>
        <w:rPr>
          <w:rFonts w:ascii="Arial" w:cs="Arial" w:eastAsia="Arial" w:hAnsi="Arial"/>
          <w:b/>
          <w:bCs/>
          <w:color w:val="2E75B6"/>
          <w:sz w:val="28"/>
          <w:szCs w:val="28"/>
        </w:rPr>
        <w:t xml:space="preserve">9.1 End-to-End Cycle Time KPIs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1400"/>
        <w:gridCol w:w="1400"/>
        <w:gridCol w:w="12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Measurement Point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Standard Target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Express Target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Critical Target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Industry Baseline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Total Intake-to-Onboarding Cycle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Intake submission to Phase 3 exit gate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29–45 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8–15 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40–60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90–120 days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1 Cycle Time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Intake submission to Phase 1 gate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3–5 days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 days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5–7 days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15–25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2 Cycle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1 gate to Phase 2 gate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5–10 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2–3 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10–15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30–45 days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3 Cycle Time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2 gate to Phase 3 exit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10–20 days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5–8 days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15–25 days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30–40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First Touch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Intake to first human reviewer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 hour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2–5 days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Decision Latency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Assessment complete to gate decision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 day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4 hours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2 days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5–10 days</w:t>
            </w:r>
          </w:p>
        </w:tc>
      </w:tr>
    </w:tbl>
    <w:p>
      <w:pPr>
        <w:spacing w:after="80"/>
      </w:pPr>
    </w:p>
    <w:p>
      <w:pPr>
        <w:pStyle w:val="Heading2"/>
        <w:spacing w:before="280" w:after="160"/>
      </w:pPr>
      <w:r>
        <w:rPr>
          <w:rFonts w:ascii="Arial" w:cs="Arial" w:eastAsia="Arial" w:hAnsi="Arial"/>
          <w:b/>
          <w:bCs/>
          <w:color w:val="2E75B6"/>
          <w:sz w:val="28"/>
          <w:szCs w:val="28"/>
        </w:rPr>
        <w:t xml:space="preserve">9.2 Process Quality KPIs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29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Definition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Measurement Method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First-Pass Approval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Percentage of initiatives approved at first gate review (no rework loops)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75%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Gate decision audit log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Intake Completeness Rate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Percentage of submissions passing validation without return to requestor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85%</w:t>
            </w:r>
          </w:p>
        </w:tc>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SP-1.1 rework loop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Triage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Percentage of AI risk classifications confirmed by human reviewer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90%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SP-1.2 override tracking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Assessment Rework Rate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Percentage of assessments requiring re-execution after gate review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10%</w:t>
            </w:r>
          </w:p>
        </w:tc>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Gate decision conditional/remediate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Decision Consistency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Percentage of DMN decisions that produce identical results for equivalent inputs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99%</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engine audit log analysis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SLA Compliance Rate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Percentage of activities completing within defined SLA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 90%</w:t>
            </w:r>
          </w:p>
        </w:tc>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Timer event tracking across all activities</w:t>
            </w:r>
          </w:p>
        </w:tc>
      </w:tr>
    </w:tbl>
    <w:p>
      <w:pPr>
        <w:spacing w:after="80"/>
      </w:pPr>
    </w:p>
    <w:p>
      <w:pPr>
        <w:pStyle w:val="Heading2"/>
        <w:spacing w:before="280" w:after="160"/>
      </w:pPr>
      <w:r>
        <w:rPr>
          <w:rFonts w:ascii="Arial" w:cs="Arial" w:eastAsia="Arial" w:hAnsi="Arial"/>
          <w:b/>
          <w:bCs/>
          <w:color w:val="2E75B6"/>
          <w:sz w:val="28"/>
          <w:szCs w:val="28"/>
        </w:rPr>
        <w:t xml:space="preserve">9.3 SLA Escalation Framework</w:t>
      </w:r>
    </w:p>
    <w:p>
      <w:pPr>
        <w:spacing w:after="120"/>
      </w:pPr>
      <w:r>
        <w:rPr>
          <w:rFonts w:ascii="Arial" w:cs="Arial" w:eastAsia="Arial" w:hAnsi="Arial"/>
          <w:color w:val="333333"/>
          <w:sz w:val="22"/>
          <w:szCs w:val="22"/>
        </w:rPr>
        <w:t xml:space="preserve">Progressive SLA monitoring applies to all activities with defined cycle time targets. Escalation thresholds are configured as non-interrupting timer boundary events on each activity:</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400"/>
        <w:gridCol w:w="25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Trigger</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Notification 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 of SLA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Warning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Automated status update to activity owner; dashboard indicator changes to yellow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Activity owner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75% of SLA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Alert</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Automated escalation to activity owner’s manager; optional resource reallocation trigger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Activity owner + manager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90% of SLA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 Alert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Automated escalation to governance lead; mandatory status update required within 2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lead + management chain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 of SLA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Breach</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Formal SLA breach recorded; automated escalation to Governance Board; root cause analysis initiated within 24 hours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Governance Board + all stakeholders</w:t>
            </w:r>
          </w:p>
        </w:tc>
      </w:tr>
    </w:tbl>
    <w:p>
      <w:r>
        <w:br w:type="page"/>
      </w:r>
    </w:p>
    <w:p>
      <w:pPr>
        <w:pStyle w:val="Heading1"/>
        <w:spacing w:before="360" w:after="200"/>
      </w:pPr>
      <w:r>
        <w:rPr>
          <w:rFonts w:ascii="Arial" w:cs="Arial" w:eastAsia="Arial" w:hAnsi="Arial"/>
          <w:b/>
          <w:bCs/>
          <w:color w:val="1F3864"/>
          <w:sz w:val="32"/>
          <w:szCs w:val="32"/>
        </w:rPr>
        <w:t xml:space="preserve">10. Appendices</w:t>
      </w:r>
    </w:p>
    <w:p>
      <w:pPr>
        <w:pStyle w:val="Heading2"/>
        <w:spacing w:before="280" w:after="160"/>
      </w:pPr>
      <w:r>
        <w:rPr>
          <w:rFonts w:ascii="Arial" w:cs="Arial" w:eastAsia="Arial" w:hAnsi="Arial"/>
          <w:b/>
          <w:bCs/>
          <w:color w:val="2E75B6"/>
          <w:sz w:val="28"/>
          <w:szCs w:val="28"/>
        </w:rPr>
        <w:t xml:space="preserve">10.1 Appendix A: BPMN Element Reference</w:t>
      </w:r>
    </w:p>
    <w:p>
      <w:pPr>
        <w:spacing w:after="120"/>
      </w:pPr>
      <w:r>
        <w:rPr>
          <w:rFonts w:ascii="Arial" w:cs="Arial" w:eastAsia="Arial" w:hAnsi="Arial"/>
          <w:color w:val="333333"/>
          <w:sz w:val="22"/>
          <w:szCs w:val="22"/>
        </w:rPr>
        <w:t xml:space="preserve">The following BPMN 2.0 elements are used throughout this document. This reference ensures consistent interpretation when translating the process descriptions into a BPMN modeling tool:</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BPMN Element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Notation</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Usage in This Document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Message Start Event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Envelope icon in circle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1 trigger: intake request received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Timer Intermediate Event (Non-Interrupting)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Clock icon in dashed circle</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SLA monitoring boundary events on all activities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Signal Intermediate Event (Interrupting)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Triangle icon in circle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Vulnerability and incident triggers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Exclusive Gateway (XOR)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Diamond with X</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Decision points: GW-1.1, GW-1.2, GW-1.3, GW-2.4, GW-3.4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Parallel Gateway (AND)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Diamond with +</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Parallel assessment and provisioning splits/joins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Inclusive Gateway (OR)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Diamond with O</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Conditional activation of vendor assessment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Sub-Process (Collapsed)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Rounded rectangle with + marker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SP-x.x sub-processes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Call Activity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Rounded rectangle with thick border</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agent invocations (9 agent types)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Object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Document icon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Initiative record, assessment reports, onboarding plan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 Store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Cylinder</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Knowledge bases (KB-001 through KB-010)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Message Flow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Dashed arrow</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Cross-pool communication (Requestor ↔ Governance)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Sequence Flow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Solid arrow</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Activity-to-activity transitions within a pool</w:t>
            </w:r>
          </w:p>
        </w:tc>
      </w:tr>
    </w:tbl>
    <w:p>
      <w:pPr>
        <w:spacing w:after="80"/>
      </w:pPr>
    </w:p>
    <w:p>
      <w:pPr>
        <w:pStyle w:val="Heading2"/>
        <w:spacing w:before="280" w:after="160"/>
      </w:pPr>
      <w:r>
        <w:rPr>
          <w:rFonts w:ascii="Arial" w:cs="Arial" w:eastAsia="Arial" w:hAnsi="Arial"/>
          <w:b/>
          <w:bCs/>
          <w:color w:val="2E75B6"/>
          <w:sz w:val="28"/>
          <w:szCs w:val="28"/>
        </w:rPr>
        <w:t xml:space="preserve">10.2 Appendix B: DMN Hit Policy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600"/>
        <w:gridCol w:w="33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Hit Policy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Symbol</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Behavior</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Used 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Exactly one rule matches; error if multiple match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DMN-DT-002, DT-004, DT-008, DT-009</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Priority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Multiple rules may match; highest-priority rule wins</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DMN-DT-001, DT-003, DT-006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Collect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matching rules are collected; outputs aggregated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DMN-DT-005, DT-007</w:t>
            </w:r>
          </w:p>
        </w:tc>
      </w:tr>
    </w:tbl>
    <w:p>
      <w:pPr>
        <w:spacing w:after="80"/>
      </w:pPr>
    </w:p>
    <w:p>
      <w:pPr>
        <w:pStyle w:val="Heading2"/>
        <w:spacing w:before="280" w:after="160"/>
      </w:pPr>
      <w:r>
        <w:rPr>
          <w:rFonts w:ascii="Arial" w:cs="Arial" w:eastAsia="Arial" w:hAnsi="Arial"/>
          <w:b/>
          <w:bCs/>
          <w:color w:val="2E75B6"/>
          <w:sz w:val="28"/>
          <w:szCs w:val="28"/>
        </w:rPr>
        <w:t xml:space="preserve">10.3 Appendix C: Glossary of Key Terms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Term</w:t>
            </w:r>
          </w:p>
        </w:tc>
        <w:tc>
          <w:tcPr>
            <w:tcW w:type="dxa" w:w="6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BPM (Business Process Management)</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Discipline of designing, executing, monitoring, and optimizing business processes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BPMN (Business Process Model and Notation)</w:t>
            </w:r>
          </w:p>
        </w:tc>
        <w:tc>
          <w:tcPr>
            <w:tcW w:type="dxa" w:w="6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ISO 19510 standard for graphical process modeling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(Decision Model and Notation)</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OMG standard for modeling business decisions separately from processes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DRD (Decision Requirement Diagram)</w:t>
            </w:r>
          </w:p>
        </w:tc>
        <w:tc>
          <w:tcPr>
            <w:tcW w:type="dxa" w:w="6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DMN diagram showing dependencies between decisions, inputs, and knowledge sources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Gateway</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BPMN element that controls diverging and converging sequence flows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Sub-Process</w:t>
            </w:r>
          </w:p>
        </w:tc>
        <w:tc>
          <w:tcPr>
            <w:tcW w:type="dxa" w:w="6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BPMN activity that contains a nested process; can be collapsed or expanded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Call Activity</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BPMN activity that invokes a globally-defined process or task (used for AI agent invocations)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Boundary Event</w:t>
            </w:r>
          </w:p>
        </w:tc>
        <w:tc>
          <w:tcPr>
            <w:tcW w:type="dxa" w:w="6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BPMN event attached to an activity boundary; can be interrupting or non-interrupting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SLA (Service Level Agreement)</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Contractual commitment to specific performance targets (cycle time, quality)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Risk Tier</w:t>
            </w:r>
          </w:p>
        </w:tc>
        <w:tc>
          <w:tcPr>
            <w:tcW w:type="dxa" w:w="6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Classification level (Critical, High, Medium, Low) that determines governance pathway and SLAs</w:t>
            </w:r>
          </w:p>
        </w:tc>
      </w:tr>
    </w:tbl>
    <w:sectPr>
      <w:headerReference w:type="default" r:id="rId6"/>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6"/>
        <w:szCs w:val="16"/>
      </w:rPr>
      <w:t xml:space="preserve">Intake to Retirement Lifecycle Playbook — Companion Document</w:t>
    </w:r>
    <w:r>
      <w:ptab w:alignment="right" w:relativeTo="margin" w:leader="none"/>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666666"/>
        <w:sz w:val="18"/>
        <w:szCs w:val="18"/>
      </w:rPr>
      <w:t xml:space="preserve">Enterprise Software Governance — Intake &amp; Onboarding BPM/DMN Architecture</w:t>
    </w:r>
    <w:r>
      <w:ptab w:alignment="right" w:relativeTo="margin" w:leader="none"/>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2026-03-03T13:31:58.969Z</dcterms:created>
  <dcterms:modified xsi:type="dcterms:W3CDTF">2026-03-03T13:31:58.969Z</dcterms:modified>
</cp:coreProperties>
</file>

<file path=docProps/custom.xml><?xml version="1.0" encoding="utf-8"?>
<Properties xmlns="http://schemas.openxmlformats.org/officeDocument/2006/custom-properties" xmlns:vt="http://schemas.openxmlformats.org/officeDocument/2006/docPropsVTypes"/>
</file>