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555555"/>
          <w:sz w:val="28"/>
          <w:szCs w:val="28"/>
        </w:rPr>
        <w:t xml:space="preserve">SECTION 2</w:t>
      </w:r>
    </w:p>
    <w:p>
      <w:pPr>
        <w:spacing w:after="100"/>
        <w:jc w:val="center"/>
      </w:pPr>
      <w:r>
        <w:rPr>
          <w:rFonts w:ascii="Arial" w:cs="Arial" w:eastAsia="Arial" w:hAnsi="Arial"/>
          <w:b/>
          <w:bCs/>
          <w:color w:val="1B3A5C"/>
          <w:sz w:val="52"/>
          <w:szCs w:val="52"/>
        </w:rPr>
        <w:t xml:space="preserve">AGENTIC SDLC ARCHITECTURE</w:t>
      </w:r>
    </w:p>
    <w:p>
      <w:pPr>
        <w:spacing w:after="400"/>
        <w:jc w:val="center"/>
      </w:pPr>
      <w:r>
        <w:rPr>
          <w:rFonts w:ascii="Arial" w:cs="Arial" w:eastAsia="Arial" w:hAnsi="Arial"/>
          <w:color w:val="2E75B6"/>
          <w:sz w:val="24"/>
          <w:szCs w:val="24"/>
        </w:rPr>
        <w:t xml:space="preserve">Part III — Multi-Agent Orchestration, Compliance-Driven Development,</w:t>
      </w:r>
    </w:p>
    <w:p>
      <w:pPr>
        <w:spacing w:after="400"/>
        <w:jc w:val="center"/>
      </w:pPr>
      <w:r>
        <w:rPr>
          <w:rFonts w:ascii="Arial" w:cs="Arial" w:eastAsia="Arial" w:hAnsi="Arial"/>
          <w:color w:val="2E75B6"/>
          <w:sz w:val="24"/>
          <w:szCs w:val="24"/>
        </w:rPr>
        <w:t xml:space="preserve">and Intelligent Automation of the Software Development Lifecycle</w:t>
      </w:r>
    </w:p>
    <w:p>
      <w:pPr>
        <w:pBdr>
          <w:bottom w:val="single" w:color="2E75B6" w:sz="6" w:space="1"/>
        </w:pBdr>
        <w:spacing w:before="200" w:after="200"/>
      </w:pPr>
    </w:p>
    <w:p>
      <w:pPr>
        <w:spacing w:before="600" w:after="100"/>
        <w:jc w:val="center"/>
      </w:pPr>
      <w:r>
        <w:rPr>
          <w:rFonts w:ascii="Arial" w:cs="Arial" w:eastAsia="Arial" w:hAnsi="Arial"/>
          <w:color w:val="555555"/>
          <w:sz w:val="22"/>
          <w:szCs w:val="22"/>
        </w:rPr>
        <w:t xml:space="preserve">Enterprise Software Governance — Intake to Retirement Lifecycle Playbook</w:t>
      </w:r>
    </w:p>
    <w:p>
      <w:pPr>
        <w:spacing w:after="100"/>
        <w:jc w:val="center"/>
      </w:pPr>
      <w:r>
        <w:rPr>
          <w:rFonts w:ascii="Arial" w:cs="Arial" w:eastAsia="Arial" w:hAnsi="Arial"/>
          <w:color w:val="555555"/>
          <w:sz w:val="22"/>
          <w:szCs w:val="22"/>
        </w:rPr>
        <w:t xml:space="preserve">Version 4.0 — March 2026</w:t>
      </w:r>
    </w:p>
    <w:p>
      <w:pPr>
        <w:jc w:val="center"/>
      </w:pPr>
      <w:r>
        <w:rPr>
          <w:rFonts w:ascii="Arial" w:cs="Arial" w:eastAsia="Arial" w:hAnsi="Arial"/>
          <w:b/>
          <w:bCs/>
          <w:color w:val="F57C00"/>
          <w:sz w:val="20"/>
          <w:szCs w:val="20"/>
        </w:rPr>
        <w:t xml:space="preserve">CONFIDENTIAL — Internal Use Only</w:t>
      </w:r>
    </w:p>
    <w:p>
      <w:r>
        <w:br w:type="page"/>
      </w:r>
    </w:p>
    <w:p>
      <w:pPr>
        <w:pStyle w:val="Heading1"/>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6"/>
          <w:szCs w:val="36"/>
        </w:rPr>
        <w:t xml:space="preserve">3.0 Executive Overview: Agentic SDLC Architecture</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 Agentic Software Development Lifecycle Architecture represents a paradigm shift in how enterprise software is conceived, designed, built, tested, deployed, and maintained. Rather than relying solely on human-driven processes augmented by discrete automation tools, this architecture introduces a coordinated ecosystem of intelligent agents that operate as autonomous yet governed participants across every phase of the software development lifecycle.</w:t>
      </w:r>
    </w:p>
    <w:p>
      <w:pPr>
        <w:spacing w:before="60" w:after="60"/>
        <w:jc w:val="left"/>
      </w:pPr>
      <w:r>
        <w:rPr>
          <w:rFonts w:ascii="Arial" w:cs="Arial" w:eastAsia="Arial" w:hAnsi="Arial"/>
          <w:b w:val="false"/>
          <w:bCs w:val="false"/>
          <w:i w:val="false"/>
          <w:iCs w:val="false"/>
          <w:color w:val="2D2D2D"/>
          <w:sz w:val="22"/>
          <w:szCs w:val="22"/>
        </w:rPr>
        <w:t xml:space="preserve">This architectural framework establishes the technical foundation for transforming traditional SDLC processes into an AI-native development paradigm. It defines how multiple specialized agents collaborate through structured orchestration patterns, how compliance requirements are embedded directly into the development pipeline through policy-as-code constructs, and how the entire system maintains the governance guardrails necessary for enterprise-grade software delivery.</w:t>
      </w:r>
    </w:p>
    <w:p>
      <w:pPr>
        <w:spacing w:before="60" w:after="60"/>
        <w:jc w:val="left"/>
      </w:pPr>
      <w:r>
        <w:rPr>
          <w:rFonts w:ascii="Arial" w:cs="Arial" w:eastAsia="Arial" w:hAnsi="Arial"/>
          <w:b w:val="false"/>
          <w:bCs w:val="false"/>
          <w:i w:val="false"/>
          <w:iCs w:val="false"/>
          <w:color w:val="2D2D2D"/>
          <w:sz w:val="22"/>
          <w:szCs w:val="22"/>
        </w:rPr>
        <w:t xml:space="preserve">The architecture addresses three critical enterprise imperatives simultaneously. First, it dramatically accelerates development cycle times by automating repetitive and cognitive tasks that traditionally consume significant developer effort. Second, it embeds regulatory compliance and organizational policy enforcement directly into the development workflow, eliminating the traditional tension between speed and governance. Third, it creates a continuously learning system that improves its own effectiveness over time through telemetry feedback loops and model refinement.</w:t>
      </w:r>
    </w:p>
    <w:p>
      <w:pPr>
        <w:spacing w:before="60" w:after="60"/>
        <w:jc w:val="left"/>
      </w:pPr>
      <w:r>
        <w:rPr>
          <w:rFonts w:ascii="Arial" w:cs="Arial" w:eastAsia="Arial" w:hAnsi="Arial"/>
          <w:b w:val="false"/>
          <w:bCs w:val="false"/>
          <w:i w:val="false"/>
          <w:iCs w:val="false"/>
          <w:color w:val="2D2D2D"/>
          <w:sz w:val="22"/>
          <w:szCs w:val="22"/>
        </w:rPr>
        <w:t xml:space="preserve">Central to this architecture is the concept of compliance-driven development, wherein every artifact produced by an agent—whether code, configuration, test case, or documentation—is validated against the applicable regulatory, policy, and AI governance standards determined by the initiative’s risk classification. This approach eliminates the traditional pattern of building first and remediating compliance gaps later, instead ensuring that compliance is a generative property of the system rather than a retrospective verification activity.</w:t>
      </w:r>
    </w:p>
    <w:p>
      <w:r>
        <w:br w:type="page"/>
      </w:r>
    </w:p>
    <w:p>
      <w:pPr>
        <w:pStyle w:val="Heading1"/>
        <w:spacing w:before="360" w:after="200"/>
      </w:pPr>
      <w:r>
        <w:rPr>
          <w:rFonts w:ascii="Arial" w:cs="Arial" w:eastAsia="Arial" w:hAnsi="Arial"/>
          <w:b/>
          <w:bCs/>
          <w:color w:val="1B3A5C"/>
          <w:sz w:val="36"/>
          <w:szCs w:val="36"/>
        </w:rPr>
        <w:t xml:space="preserve">3.1 Architecture Design Principles</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 Agentic SDLC Architecture is constructed upon a set of foundational design principles that govern all agent behaviors, integration patterns, and governance mechanisms. These principles ensure that automation augments rather than supplants organizational accountability, and that the system remains auditable, explainable, and aligned with enterprise risk tolerance.</w:t>
      </w:r>
    </w:p>
    <w:p>
      <w:pPr>
        <w:pStyle w:val="Heading2"/>
        <w:spacing w:before="300" w:after="160"/>
      </w:pPr>
      <w:r>
        <w:rPr>
          <w:rFonts w:ascii="Arial" w:cs="Arial" w:eastAsia="Arial" w:hAnsi="Arial"/>
          <w:b/>
          <w:bCs/>
          <w:color w:val="2E75B6"/>
          <w:sz w:val="30"/>
          <w:szCs w:val="30"/>
        </w:rPr>
        <w:t xml:space="preserve">3.1.1 Compliance by Construction</w:t>
      </w:r>
    </w:p>
    <w:p>
      <w:pPr>
        <w:spacing w:before="60" w:after="60"/>
        <w:jc w:val="left"/>
      </w:pPr>
      <w:r>
        <w:rPr>
          <w:rFonts w:ascii="Arial" w:cs="Arial" w:eastAsia="Arial" w:hAnsi="Arial"/>
          <w:b w:val="false"/>
          <w:bCs w:val="false"/>
          <w:i w:val="false"/>
          <w:iCs w:val="false"/>
          <w:color w:val="2D2D2D"/>
          <w:sz w:val="22"/>
          <w:szCs w:val="22"/>
        </w:rPr>
        <w:t xml:space="preserve">Every agent in the system operates within a compliance envelope defined by the initiative’s risk classification tier. Agents do not produce artifacts that are subsequently validated for compliance; instead, compliance constraints are injected into the agent’s operational context before any generative activity begins. The compliance envelope includes applicable regulatory requirements mapped from the regulatory mapping engine, organizational policies and standards retrieved from the policy repository, AI governance requirements based on the initiative’s AI risk classification, security control requirements derived from the security framework, and data handling constraints determined by the data classification scheme. This principle ensures that compliance is a generative property of the output rather than a post-hoc validation exercise. The agent’s language model context is constructed to include these requirements as system-level constraints, and the validation layer confirms adherence before any artifact is promoted downstream.</w:t>
      </w:r>
    </w:p>
    <w:p>
      <w:pPr>
        <w:pStyle w:val="Heading2"/>
        <w:spacing w:before="300" w:after="160"/>
      </w:pPr>
      <w:r>
        <w:rPr>
          <w:rFonts w:ascii="Arial" w:cs="Arial" w:eastAsia="Arial" w:hAnsi="Arial"/>
          <w:b/>
          <w:bCs/>
          <w:color w:val="2E75B6"/>
          <w:sz w:val="30"/>
          <w:szCs w:val="30"/>
        </w:rPr>
        <w:t xml:space="preserve">3.1.2 Autonomous Operation Within Governed Boundaries</w:t>
      </w:r>
    </w:p>
    <w:p>
      <w:pPr>
        <w:spacing w:before="60" w:after="60"/>
        <w:jc w:val="left"/>
      </w:pPr>
      <w:r>
        <w:rPr>
          <w:rFonts w:ascii="Arial" w:cs="Arial" w:eastAsia="Arial" w:hAnsi="Arial"/>
          <w:b w:val="false"/>
          <w:bCs w:val="false"/>
          <w:i w:val="false"/>
          <w:iCs w:val="false"/>
          <w:color w:val="2D2D2D"/>
          <w:sz w:val="22"/>
          <w:szCs w:val="22"/>
        </w:rPr>
        <w:t xml:space="preserve">Agents are designed to operate autonomously within clearly defined boundaries that correspond to the organization’s risk appetite. The degree of autonomy is directly inversely correlated with the risk classification of the initiative being supported. For low-risk initiatives, agents may operate with full autonomy across the entire development lifecycle, requiring human review only at defined milestone gates. For moderate-risk initiatives, agents operate autonomously within individual phases but require human approval at phase transitions. For high-risk and critical-risk initiatives, agents function as intelligent assistants that generate recommendations and draft artifacts, with human decision-makers retaining approval authority at every significant juncture.</w:t>
      </w:r>
    </w:p>
    <w:p>
      <w:pPr>
        <w:spacing w:before="60" w:after="60"/>
        <w:jc w:val="left"/>
      </w:pPr>
      <w:r>
        <w:rPr>
          <w:rFonts w:ascii="Arial" w:cs="Arial" w:eastAsia="Arial" w:hAnsi="Arial"/>
          <w:b w:val="false"/>
          <w:bCs w:val="false"/>
          <w:i w:val="false"/>
          <w:iCs w:val="false"/>
          <w:color w:val="2D2D2D"/>
          <w:sz w:val="22"/>
          <w:szCs w:val="22"/>
        </w:rPr>
        <w:t xml:space="preserve">This graduated autonomy model ensures that the organization maximizes the acceleration benefits of agentic automation for lower-risk work while maintaining appropriate human oversight for initiatives where the consequences of error are material.</w:t>
      </w:r>
    </w:p>
    <w:p>
      <w:pPr>
        <w:pStyle w:val="Heading2"/>
        <w:spacing w:before="300" w:after="160"/>
      </w:pPr>
      <w:r>
        <w:rPr>
          <w:rFonts w:ascii="Arial" w:cs="Arial" w:eastAsia="Arial" w:hAnsi="Arial"/>
          <w:b/>
          <w:bCs/>
          <w:color w:val="2E75B6"/>
          <w:sz w:val="30"/>
          <w:szCs w:val="30"/>
        </w:rPr>
        <w:t xml:space="preserve">3.1.3 Composability and Modularity</w:t>
      </w:r>
    </w:p>
    <w:p>
      <w:pPr>
        <w:spacing w:before="60" w:after="60"/>
        <w:jc w:val="left"/>
      </w:pPr>
      <w:r>
        <w:rPr>
          <w:rFonts w:ascii="Arial" w:cs="Arial" w:eastAsia="Arial" w:hAnsi="Arial"/>
          <w:b w:val="false"/>
          <w:bCs w:val="false"/>
          <w:i w:val="false"/>
          <w:iCs w:val="false"/>
          <w:color w:val="2D2D2D"/>
          <w:sz w:val="22"/>
          <w:szCs w:val="22"/>
        </w:rPr>
        <w:t xml:space="preserve">The architecture is designed as a modular, composable system in which agents can be added, replaced, upgraded, or reconfigured without requiring changes to the overall orchestration framework. Each agent exposes a standardized interface defined by the Agent Communication Protocol, enabling interchangeability and extensibility. This composability allows the organization to introduce new specialized agents as capabilities mature, replace individual agent implementations without disrupting the broader workflow, configure different agent compositions for different initiative types or risk classifications, and scale individual agent capacity independently based on demand. The modular design also supports a progressive adoption strategy, allowing the organization to introduce agentic capabilities incrementally rather than requiring a wholesale transformation of existing processes.</w:t>
      </w:r>
    </w:p>
    <w:p>
      <w:pPr>
        <w:pStyle w:val="Heading2"/>
        <w:spacing w:before="300" w:after="160"/>
      </w:pPr>
      <w:r>
        <w:rPr>
          <w:rFonts w:ascii="Arial" w:cs="Arial" w:eastAsia="Arial" w:hAnsi="Arial"/>
          <w:b/>
          <w:bCs/>
          <w:color w:val="2E75B6"/>
          <w:sz w:val="30"/>
          <w:szCs w:val="30"/>
        </w:rPr>
        <w:t xml:space="preserve">3.1.4 Continuous Learning and Adaptation</w:t>
      </w:r>
    </w:p>
    <w:p>
      <w:pPr>
        <w:spacing w:before="60" w:after="60"/>
        <w:jc w:val="left"/>
      </w:pPr>
      <w:r>
        <w:rPr>
          <w:rFonts w:ascii="Arial" w:cs="Arial" w:eastAsia="Arial" w:hAnsi="Arial"/>
          <w:b w:val="false"/>
          <w:bCs w:val="false"/>
          <w:i w:val="false"/>
          <w:iCs w:val="false"/>
          <w:color w:val="2D2D2D"/>
          <w:sz w:val="22"/>
          <w:szCs w:val="22"/>
        </w:rPr>
        <w:t xml:space="preserve">The architecture incorporates feedback loops at multiple levels that enable the system to learn from outcomes and improve over time. Agent-level feedback captures the quality and accuracy of individual agent outputs, enabling model fine-tuning and prompt refinement. Workflow-level feedback tracks end-to-end process efficiency and identifies bottlenecks or failure patterns. Organizational-level feedback aggregates insights across all initiatives to identify systemic improvement opportunities.</w:t>
      </w:r>
    </w:p>
    <w:p>
      <w:pPr>
        <w:spacing w:before="60" w:after="60"/>
        <w:jc w:val="left"/>
      </w:pPr>
      <w:r>
        <w:rPr>
          <w:rFonts w:ascii="Arial" w:cs="Arial" w:eastAsia="Arial" w:hAnsi="Arial"/>
          <w:b w:val="false"/>
          <w:bCs w:val="false"/>
          <w:i w:val="false"/>
          <w:iCs w:val="false"/>
          <w:color w:val="2D2D2D"/>
          <w:sz w:val="22"/>
          <w:szCs w:val="22"/>
        </w:rPr>
        <w:t xml:space="preserve">These feedback mechanisms are integrated with the telemetry and observability framework, ensuring that learning is based on empirical data rather than subjective assessment. The system maintains a knowledge base that captures successful patterns, known failure modes, and optimization strategies, which agents can reference to improve their performance over time.</w:t>
      </w:r>
    </w:p>
    <w:p>
      <w:pPr>
        <w:pStyle w:val="Heading2"/>
        <w:spacing w:before="300" w:after="160"/>
      </w:pPr>
      <w:r>
        <w:rPr>
          <w:rFonts w:ascii="Arial" w:cs="Arial" w:eastAsia="Arial" w:hAnsi="Arial"/>
          <w:b/>
          <w:bCs/>
          <w:color w:val="2E75B6"/>
          <w:sz w:val="30"/>
          <w:szCs w:val="30"/>
        </w:rPr>
        <w:t xml:space="preserve">3.1.5 Traceability and Auditability</w:t>
      </w:r>
    </w:p>
    <w:p>
      <w:pPr>
        <w:spacing w:before="60" w:after="60"/>
        <w:jc w:val="left"/>
      </w:pPr>
      <w:r>
        <w:rPr>
          <w:rFonts w:ascii="Arial" w:cs="Arial" w:eastAsia="Arial" w:hAnsi="Arial"/>
          <w:b w:val="false"/>
          <w:bCs w:val="false"/>
          <w:i w:val="false"/>
          <w:iCs w:val="false"/>
          <w:color w:val="2D2D2D"/>
          <w:sz w:val="22"/>
          <w:szCs w:val="22"/>
        </w:rPr>
        <w:t xml:space="preserve">Every action taken by every agent is logged with sufficient detail to support full traceability from any output artifact back to its originating requirements, compliance constraints, and decision rationale. The audit trail captures the agent identity and version that produced each artifact, the input context including requirements, constraints, and prior artifacts, the reasoning chain that led to the output, any intermediate decisions or alternatives considered, the validation results from compliance and quality checks, and the human approvals or overrides that occurred. This traceability infrastructure supports regulatory audit requirements, internal governance reviews, and root cause analysis when issues arise. It also provides the evidentiary basis for demonstrating compliance with regulatory frameworks that require documentation of development processes and controls.</w:t>
      </w:r>
    </w:p>
    <w:p>
      <w:r>
        <w:br w:type="page"/>
      </w:r>
    </w:p>
    <w:p>
      <w:pPr>
        <w:pStyle w:val="Heading1"/>
        <w:spacing w:before="360" w:after="200"/>
      </w:pPr>
      <w:r>
        <w:rPr>
          <w:rFonts w:ascii="Arial" w:cs="Arial" w:eastAsia="Arial" w:hAnsi="Arial"/>
          <w:b/>
          <w:bCs/>
          <w:color w:val="1B3A5C"/>
          <w:sz w:val="36"/>
          <w:szCs w:val="36"/>
        </w:rPr>
        <w:t xml:space="preserve">3.2 Multi-Agent Orchestration Framework</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 Multi-Agent Orchestration Framework serves as the central nervous system of the Agentic SDLC Architecture. It coordinates the activities of all specialized agents, manages workflow execution, handles inter-agent communication, and ensures that the overall development process proceeds according to the defined governance model. The framework operates through a hierarchical orchestration topology that balances centralized coordination with decentralized execution.</w:t>
      </w:r>
    </w:p>
    <w:p>
      <w:pPr>
        <w:pStyle w:val="Heading2"/>
        <w:spacing w:before="300" w:after="160"/>
      </w:pPr>
      <w:r>
        <w:rPr>
          <w:rFonts w:ascii="Arial" w:cs="Arial" w:eastAsia="Arial" w:hAnsi="Arial"/>
          <w:b/>
          <w:bCs/>
          <w:color w:val="2E75B6"/>
          <w:sz w:val="30"/>
          <w:szCs w:val="30"/>
        </w:rPr>
        <w:t xml:space="preserve">3.2.1 Orchestration Topology</w:t>
      </w:r>
    </w:p>
    <w:p>
      <w:pPr>
        <w:spacing w:before="60" w:after="60"/>
        <w:jc w:val="left"/>
      </w:pPr>
      <w:r>
        <w:rPr>
          <w:rFonts w:ascii="Arial" w:cs="Arial" w:eastAsia="Arial" w:hAnsi="Arial"/>
          <w:b w:val="false"/>
          <w:bCs w:val="false"/>
          <w:i w:val="false"/>
          <w:iCs w:val="false"/>
          <w:color w:val="2D2D2D"/>
          <w:sz w:val="22"/>
          <w:szCs w:val="22"/>
        </w:rPr>
        <w:t xml:space="preserve">The orchestration framework employs a hierarchical topology consisting of three coordination tiers that manage different scopes of agent activity.</w:t>
      </w:r>
    </w:p>
    <w:p>
      <w:pPr>
        <w:pStyle w:val="Heading3"/>
        <w:spacing w:before="240" w:after="120"/>
      </w:pPr>
      <w:r>
        <w:rPr>
          <w:rFonts w:ascii="Arial" w:cs="Arial" w:eastAsia="Arial" w:hAnsi="Arial"/>
          <w:b/>
          <w:bCs/>
          <w:color w:val="4A90D9"/>
          <w:sz w:val="26"/>
          <w:szCs w:val="26"/>
        </w:rPr>
        <w:t xml:space="preserve">Master Orchestrator</w:t>
      </w:r>
    </w:p>
    <w:p>
      <w:pPr>
        <w:spacing w:before="60" w:after="60"/>
        <w:jc w:val="left"/>
      </w:pPr>
      <w:r>
        <w:rPr>
          <w:rFonts w:ascii="Arial" w:cs="Arial" w:eastAsia="Arial" w:hAnsi="Arial"/>
          <w:b w:val="false"/>
          <w:bCs w:val="false"/>
          <w:i w:val="false"/>
          <w:iCs w:val="false"/>
          <w:color w:val="2D2D2D"/>
          <w:sz w:val="22"/>
          <w:szCs w:val="22"/>
        </w:rPr>
        <w:t xml:space="preserve">The Master Orchestrator is the top-level coordinator responsible for end-to-end lifecycle management of an initiative. It receives the initiative intake package, determines the applicable workflow based on the initiative type and risk classification, provisions the required agent ensemble, and monitors overall progress against defined milestones and SLAs. The Master Orchestrator maintains the global state of each initiative and is responsible for escalation to human stakeholders when agent confidence falls below defined thresholds or when approval gates are reached. It communicates with Phase Orchestrators through the Event Bus and maintains a persistent workflow state in the Orchestration State Store.</w:t>
      </w:r>
    </w:p>
    <w:p>
      <w:pPr>
        <w:pStyle w:val="Heading3"/>
        <w:spacing w:before="240" w:after="120"/>
      </w:pPr>
      <w:r>
        <w:rPr>
          <w:rFonts w:ascii="Arial" w:cs="Arial" w:eastAsia="Arial" w:hAnsi="Arial"/>
          <w:b/>
          <w:bCs/>
          <w:color w:val="4A90D9"/>
          <w:sz w:val="26"/>
          <w:szCs w:val="26"/>
        </w:rPr>
        <w:t xml:space="preserve">Phase Orchestrators</w:t>
      </w:r>
    </w:p>
    <w:p>
      <w:pPr>
        <w:spacing w:before="60" w:after="60"/>
        <w:jc w:val="left"/>
      </w:pPr>
      <w:r>
        <w:rPr>
          <w:rFonts w:ascii="Arial" w:cs="Arial" w:eastAsia="Arial" w:hAnsi="Arial"/>
          <w:b w:val="false"/>
          <w:bCs w:val="false"/>
          <w:i w:val="false"/>
          <w:iCs w:val="false"/>
          <w:color w:val="2D2D2D"/>
          <w:sz w:val="22"/>
          <w:szCs w:val="22"/>
        </w:rPr>
        <w:t xml:space="preserve">Phase Orchestrators manage the execution of individual SDLC phases such as requirements analysis, design, development, testing, and deployment. Each Phase Orchestrator is responsible for decomposing phase-level objectives into discrete tasks, assigning tasks to appropriate specialist agents, managing task dependencies and execution sequencing, aggregating phase outputs and validating phase completion criteria, and reporting phase status to the Master Orchestrator. Phase Orchestrators operate with a degree of autonomy proportional to the initiative’s risk classification, making real-time decisions about task prioritization and agent allocation within their phase boundaries.</w:t>
      </w:r>
    </w:p>
    <w:p>
      <w:pPr>
        <w:pStyle w:val="Heading3"/>
        <w:spacing w:before="240" w:after="120"/>
      </w:pPr>
      <w:r>
        <w:rPr>
          <w:rFonts w:ascii="Arial" w:cs="Arial" w:eastAsia="Arial" w:hAnsi="Arial"/>
          <w:b/>
          <w:bCs/>
          <w:color w:val="4A90D9"/>
          <w:sz w:val="26"/>
          <w:szCs w:val="26"/>
        </w:rPr>
        <w:t xml:space="preserve">Task-Level Agent Coordination</w:t>
      </w:r>
    </w:p>
    <w:p>
      <w:pPr>
        <w:spacing w:before="60" w:after="60"/>
        <w:jc w:val="left"/>
      </w:pPr>
      <w:r>
        <w:rPr>
          <w:rFonts w:ascii="Arial" w:cs="Arial" w:eastAsia="Arial" w:hAnsi="Arial"/>
          <w:b w:val="false"/>
          <w:bCs w:val="false"/>
          <w:i w:val="false"/>
          <w:iCs w:val="false"/>
          <w:color w:val="2D2D2D"/>
          <w:sz w:val="22"/>
          <w:szCs w:val="22"/>
        </w:rPr>
        <w:t xml:space="preserve">At the lowest tier, individual agents coordinate directly with one another on task-level activities. This peer-to-peer coordination occurs within the boundaries established by the Phase Orchestrator and follows the Agent Communication Protocol. Examples include the Code Generation Agent requesting architectural context from the Architecture Design Agent, the Testing Agent requesting interface specifications from the Code Generation Agent to generate test cases, and the Security Agent requesting dependency manifests from the Code Generation Agent for vulnerability scanning.</w:t>
      </w:r>
    </w:p>
    <w:p>
      <w:pPr>
        <w:spacing w:before="120" w:after="120"/>
      </w:pPr>
    </w:p>
    <w:p>
      <w:pPr>
        <w:spacing w:before="60" w:after="60"/>
        <w:jc w:val="left"/>
      </w:pPr>
      <w:r>
        <w:rPr>
          <w:rFonts w:ascii="Arial" w:cs="Arial" w:eastAsia="Arial" w:hAnsi="Arial"/>
          <w:b/>
          <w:bCs/>
          <w:i w:val="false"/>
          <w:iCs w:val="false"/>
          <w:color w:val="1B3A5C"/>
          <w:sz w:val="24"/>
          <w:szCs w:val="24"/>
        </w:rPr>
        <w:t xml:space="preserve">Orchestration Tier Responsibilities and Authority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c>
          <w:tcPr>
            <w:tcW w:type="dxa" w:w="24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Authority Level</w:t>
            </w:r>
          </w:p>
        </w:tc>
        <w:tc>
          <w:tcPr>
            <w:tcW w:type="dxa" w:w="216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Escalation Path</w:t>
            </w:r>
          </w:p>
        </w:tc>
      </w:tr>
      <w:tr>
        <w:tc>
          <w:tcPr>
            <w:tcW w:type="dxa" w:w="20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Master Orchestrator</w:t>
            </w:r>
          </w:p>
        </w:tc>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End-to-end lifecycle coordination, milestone tracking, SLA enforcement</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Workflow selection, agent provisioning, human escalation</w:t>
            </w:r>
          </w:p>
        </w:tc>
        <w:tc>
          <w:tcPr>
            <w:tcW w:type="dxa" w:w="21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Program Manager, Governance Board</w:t>
            </w:r>
          </w:p>
        </w:tc>
      </w:tr>
      <w:tr>
        <w:tc>
          <w:tcPr>
            <w:tcW w:type="dxa" w:w="20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Phase Orchestrator</w:t>
            </w:r>
          </w:p>
        </w:tc>
        <w:tc>
          <w:tcPr>
            <w:tcW w:type="dxa" w:w="2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Phase-level task decomposition, agent assignment, dependency management</w:t>
            </w:r>
          </w:p>
        </w:tc>
        <w:tc>
          <w:tcPr>
            <w:tcW w:type="dxa" w:w="24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Task sequencing, resource allocation within phase budget</w:t>
            </w:r>
          </w:p>
        </w:tc>
        <w:tc>
          <w:tcPr>
            <w:tcW w:type="dxa" w:w="21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Master Orchestrator, Phase Lead</w:t>
            </w:r>
          </w:p>
        </w:tc>
      </w:tr>
      <w:tr>
        <w:tc>
          <w:tcPr>
            <w:tcW w:type="dxa" w:w="20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Task Agents</w:t>
            </w:r>
          </w:p>
        </w:tc>
        <w:tc>
          <w:tcPr>
            <w:tcW w:type="dxa" w:w="2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Individual task execution, artifact generation, peer coordination</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Autonomous within task scope and compliance envelope</w:t>
            </w:r>
          </w:p>
        </w:tc>
        <w:tc>
          <w:tcPr>
            <w:tcW w:type="dxa" w:w="21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Phase Orchestrator</w:t>
            </w:r>
          </w:p>
        </w:tc>
      </w:tr>
    </w:tbl>
    <w:p>
      <w:pPr>
        <w:pStyle w:val="Heading2"/>
        <w:spacing w:before="300" w:after="160"/>
      </w:pPr>
      <w:r>
        <w:rPr>
          <w:rFonts w:ascii="Arial" w:cs="Arial" w:eastAsia="Arial" w:hAnsi="Arial"/>
          <w:b/>
          <w:bCs/>
          <w:color w:val="2E75B6"/>
          <w:sz w:val="30"/>
          <w:szCs w:val="30"/>
        </w:rPr>
        <w:t xml:space="preserve">3.2.2 Agent Registry and Discovery</w:t>
      </w:r>
    </w:p>
    <w:p>
      <w:pPr>
        <w:spacing w:before="60" w:after="60"/>
        <w:jc w:val="left"/>
      </w:pPr>
      <w:r>
        <w:rPr>
          <w:rFonts w:ascii="Arial" w:cs="Arial" w:eastAsia="Arial" w:hAnsi="Arial"/>
          <w:b w:val="false"/>
          <w:bCs w:val="false"/>
          <w:i w:val="false"/>
          <w:iCs w:val="false"/>
          <w:color w:val="2D2D2D"/>
          <w:sz w:val="22"/>
          <w:szCs w:val="22"/>
        </w:rPr>
        <w:t xml:space="preserve">The Agent Registry is a centralized catalog that maintains the authoritative record of all available agents, their capabilities, version history, and current operational status. It serves as the discovery mechanism through which orchestrators identify and provision the appropriate agents for each initiative and task.</w:t>
      </w:r>
    </w:p>
    <w:p>
      <w:pPr>
        <w:spacing w:before="60" w:after="60"/>
        <w:jc w:val="left"/>
      </w:pPr>
      <w:r>
        <w:rPr>
          <w:rFonts w:ascii="Arial" w:cs="Arial" w:eastAsia="Arial" w:hAnsi="Arial"/>
          <w:b w:val="false"/>
          <w:bCs w:val="false"/>
          <w:i w:val="false"/>
          <w:iCs w:val="false"/>
          <w:color w:val="2D2D2D"/>
          <w:sz w:val="22"/>
          <w:szCs w:val="22"/>
        </w:rPr>
        <w:t xml:space="preserve">Each agent registration record includes the agent’s unique identifier and version, a capability descriptor that defines the agent’s functional domain and supported task types, the agent’s input and output interface specifications, performance characteristics including average execution time, accuracy metrics, and confidence thresholds, the compliance domains the agent is certified to operate within, resource requirements and scaling parameters, and current availability and capacity status.</w:t>
      </w:r>
    </w:p>
    <w:p>
      <w:pPr>
        <w:spacing w:before="60" w:after="60"/>
        <w:jc w:val="left"/>
      </w:pPr>
      <w:r>
        <w:rPr>
          <w:rFonts w:ascii="Arial" w:cs="Arial" w:eastAsia="Arial" w:hAnsi="Arial"/>
          <w:b w:val="false"/>
          <w:bCs w:val="false"/>
          <w:i w:val="false"/>
          <w:iCs w:val="false"/>
          <w:color w:val="2D2D2D"/>
          <w:sz w:val="22"/>
          <w:szCs w:val="22"/>
        </w:rPr>
        <w:t xml:space="preserve">The registry supports dynamic discovery, allowing orchestrators to query for agents that meet specific capability requirements at runtime. This enables the system to adapt to varying demand patterns and to gracefully handle agent unavailability through failover to alternative agents with compatible capabilities.</w:t>
      </w:r>
    </w:p>
    <w:p>
      <w:pPr>
        <w:pStyle w:val="Heading2"/>
        <w:spacing w:before="300" w:after="160"/>
      </w:pPr>
      <w:r>
        <w:rPr>
          <w:rFonts w:ascii="Arial" w:cs="Arial" w:eastAsia="Arial" w:hAnsi="Arial"/>
          <w:b/>
          <w:bCs/>
          <w:color w:val="2E75B6"/>
          <w:sz w:val="30"/>
          <w:szCs w:val="30"/>
        </w:rPr>
        <w:t xml:space="preserve">3.2.3 Communication Protocols and Event Bus</w:t>
      </w:r>
    </w:p>
    <w:p>
      <w:pPr>
        <w:spacing w:before="60" w:after="60"/>
        <w:jc w:val="left"/>
      </w:pPr>
      <w:r>
        <w:rPr>
          <w:rFonts w:ascii="Arial" w:cs="Arial" w:eastAsia="Arial" w:hAnsi="Arial"/>
          <w:b w:val="false"/>
          <w:bCs w:val="false"/>
          <w:i w:val="false"/>
          <w:iCs w:val="false"/>
          <w:color w:val="2D2D2D"/>
          <w:sz w:val="22"/>
          <w:szCs w:val="22"/>
        </w:rPr>
        <w:t xml:space="preserve">Inter-agent communication follows the Agent Communication Protocol, a structured messaging standard that ensures consistent, traceable, and verifiable exchanges between all system participants. The protocol defines three communication patterns.</w:t>
      </w:r>
    </w:p>
    <w:p>
      <w:pPr>
        <w:pStyle w:val="Heading3"/>
        <w:spacing w:before="240" w:after="120"/>
      </w:pPr>
      <w:r>
        <w:rPr>
          <w:rFonts w:ascii="Arial" w:cs="Arial" w:eastAsia="Arial" w:hAnsi="Arial"/>
          <w:b/>
          <w:bCs/>
          <w:color w:val="4A90D9"/>
          <w:sz w:val="26"/>
          <w:szCs w:val="26"/>
        </w:rPr>
        <w:t xml:space="preserve">Synchronous Request-Response</w:t>
      </w:r>
    </w:p>
    <w:p>
      <w:pPr>
        <w:spacing w:before="60" w:after="60"/>
        <w:jc w:val="left"/>
      </w:pPr>
      <w:r>
        <w:rPr>
          <w:rFonts w:ascii="Arial" w:cs="Arial" w:eastAsia="Arial" w:hAnsi="Arial"/>
          <w:b w:val="false"/>
          <w:bCs w:val="false"/>
          <w:i w:val="false"/>
          <w:iCs w:val="false"/>
          <w:color w:val="2D2D2D"/>
          <w:sz w:val="22"/>
          <w:szCs w:val="22"/>
        </w:rPr>
        <w:t xml:space="preserve">Used when an agent requires an immediate response from another agent to continue its current task. The requesting agent blocks until the response is received or a timeout threshold is exceeded. This pattern is appropriate for context retrieval, validation queries, and quick consultations where the requesting agent cannot proceed without the response.</w:t>
      </w:r>
    </w:p>
    <w:p>
      <w:pPr>
        <w:pStyle w:val="Heading3"/>
        <w:spacing w:before="240" w:after="120"/>
      </w:pPr>
      <w:r>
        <w:rPr>
          <w:rFonts w:ascii="Arial" w:cs="Arial" w:eastAsia="Arial" w:hAnsi="Arial"/>
          <w:b/>
          <w:bCs/>
          <w:color w:val="4A90D9"/>
          <w:sz w:val="26"/>
          <w:szCs w:val="26"/>
        </w:rPr>
        <w:t xml:space="preserve">Asynchronous Event-Driven</w:t>
      </w:r>
    </w:p>
    <w:p>
      <w:pPr>
        <w:spacing w:before="60" w:after="60"/>
        <w:jc w:val="left"/>
      </w:pPr>
      <w:r>
        <w:rPr>
          <w:rFonts w:ascii="Arial" w:cs="Arial" w:eastAsia="Arial" w:hAnsi="Arial"/>
          <w:b w:val="false"/>
          <w:bCs w:val="false"/>
          <w:i w:val="false"/>
          <w:iCs w:val="false"/>
          <w:color w:val="2D2D2D"/>
          <w:sz w:val="22"/>
          <w:szCs w:val="22"/>
        </w:rPr>
        <w:t xml:space="preserve">Used for notifications, status updates, and outputs that do not require an immediate response. Agents publish events to the Event Bus, and interested agents subscribe to relevant event streams. This pattern supports loose coupling between agents and enables parallel processing of independent tasks. The Event Bus guarantees at-least-once delivery with configurable retry policies and dead-letter queue handling for failed message processing.</w:t>
      </w:r>
    </w:p>
    <w:p>
      <w:pPr>
        <w:pStyle w:val="Heading3"/>
        <w:spacing w:before="240" w:after="120"/>
      </w:pPr>
      <w:r>
        <w:rPr>
          <w:rFonts w:ascii="Arial" w:cs="Arial" w:eastAsia="Arial" w:hAnsi="Arial"/>
          <w:b/>
          <w:bCs/>
          <w:color w:val="4A90D9"/>
          <w:sz w:val="26"/>
          <w:szCs w:val="26"/>
        </w:rPr>
        <w:t xml:space="preserve">Streaming Collaboration</w:t>
      </w:r>
    </w:p>
    <w:p>
      <w:pPr>
        <w:spacing w:before="60" w:after="60"/>
        <w:jc w:val="left"/>
      </w:pPr>
      <w:r>
        <w:rPr>
          <w:rFonts w:ascii="Arial" w:cs="Arial" w:eastAsia="Arial" w:hAnsi="Arial"/>
          <w:b w:val="false"/>
          <w:bCs w:val="false"/>
          <w:i w:val="false"/>
          <w:iCs w:val="false"/>
          <w:color w:val="2D2D2D"/>
          <w:sz w:val="22"/>
          <w:szCs w:val="22"/>
        </w:rPr>
        <w:t xml:space="preserve">Used when agents need to collaborate iteratively on a shared artifact, such as when the Code Generation Agent and the Security Agent co-develop a component with embedded security controls. In this pattern, agents exchange incremental updates through a shared workspace, with each agent contributing its specialized perspective to the evolving artifact.</w:t>
      </w:r>
    </w:p>
    <w:p>
      <w:pPr>
        <w:pStyle w:val="Heading2"/>
        <w:spacing w:before="300" w:after="160"/>
      </w:pPr>
      <w:r>
        <w:rPr>
          <w:rFonts w:ascii="Arial" w:cs="Arial" w:eastAsia="Arial" w:hAnsi="Arial"/>
          <w:b/>
          <w:bCs/>
          <w:color w:val="2E75B6"/>
          <w:sz w:val="30"/>
          <w:szCs w:val="30"/>
        </w:rPr>
        <w:t xml:space="preserve">3.2.4 State Management and Persistence</w:t>
      </w:r>
    </w:p>
    <w:p>
      <w:pPr>
        <w:spacing w:before="60" w:after="60"/>
        <w:jc w:val="left"/>
      </w:pPr>
      <w:r>
        <w:rPr>
          <w:rFonts w:ascii="Arial" w:cs="Arial" w:eastAsia="Arial" w:hAnsi="Arial"/>
          <w:b w:val="false"/>
          <w:bCs w:val="false"/>
          <w:i w:val="false"/>
          <w:iCs w:val="false"/>
          <w:color w:val="2D2D2D"/>
          <w:sz w:val="22"/>
          <w:szCs w:val="22"/>
        </w:rPr>
        <w:t xml:space="preserve">The Orchestration State Store maintains the complete state of all active initiatives, including workflow progress, agent assignments, artifact versions, approval status, and compliance validation results. The state store provides several critical capabilities.</w:t>
      </w:r>
    </w:p>
    <w:p>
      <w:pPr>
        <w:spacing w:before="60" w:after="60"/>
        <w:jc w:val="left"/>
      </w:pPr>
      <w:r>
        <w:rPr>
          <w:rFonts w:ascii="Arial" w:cs="Arial" w:eastAsia="Arial" w:hAnsi="Arial"/>
          <w:b w:val="false"/>
          <w:bCs w:val="false"/>
          <w:i w:val="false"/>
          <w:iCs w:val="false"/>
          <w:color w:val="2D2D2D"/>
          <w:sz w:val="22"/>
          <w:szCs w:val="22"/>
        </w:rPr>
        <w:t xml:space="preserve">Checkpoint and recovery functionality enables the system to resume processing from the last consistent checkpoint in the event of a system failure, without losing work in progress. Concurrent access management ensures that multiple agents can safely read and update shared state without corruption or race conditions. State history preservation maintains a complete audit trail of all state transitions, supporting traceability and root cause analysis. State query services allow orchestrators and monitoring systems to query current and historical state for operational visibility and reporting.</w:t>
      </w:r>
    </w:p>
    <w:p>
      <w:pPr>
        <w:spacing w:before="60" w:after="60"/>
        <w:jc w:val="left"/>
      </w:pPr>
      <w:r>
        <w:rPr>
          <w:rFonts w:ascii="Arial" w:cs="Arial" w:eastAsia="Arial" w:hAnsi="Arial"/>
          <w:b w:val="false"/>
          <w:bCs w:val="false"/>
          <w:i w:val="false"/>
          <w:iCs w:val="false"/>
          <w:color w:val="2D2D2D"/>
          <w:sz w:val="22"/>
          <w:szCs w:val="22"/>
        </w:rPr>
        <w:t xml:space="preserve">The state store is implemented as a distributed, replicated data store with configurable consistency guarantees. For most operations, eventual consistency is sufficient, but approval gates and compliance validation checkpoints require strong consistency to prevent unauthorized progression through governance-controlled transitions.</w:t>
      </w:r>
    </w:p>
    <w:p>
      <w:r>
        <w:br w:type="page"/>
      </w:r>
    </w:p>
    <w:p>
      <w:pPr>
        <w:pStyle w:val="Heading1"/>
        <w:spacing w:before="360" w:after="200"/>
      </w:pPr>
      <w:r>
        <w:rPr>
          <w:rFonts w:ascii="Arial" w:cs="Arial" w:eastAsia="Arial" w:hAnsi="Arial"/>
          <w:b/>
          <w:bCs/>
          <w:color w:val="1B3A5C"/>
          <w:sz w:val="36"/>
          <w:szCs w:val="36"/>
        </w:rPr>
        <w:t xml:space="preserve">3.3 Core Agent Roles and Capabilities</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 Agentic SDLC Architecture defines a comprehensive set of specialized agents, each responsible for a distinct domain of the software development lifecycle. These agents are designed to function both independently and collaboratively, with each agent possessing deep expertise in its domain while maintaining the ability to coordinate with other agents through the standardized communication protocols defined by the orchestration framework.</w:t>
      </w:r>
    </w:p>
    <w:p>
      <w:pPr>
        <w:pStyle w:val="Heading2"/>
        <w:spacing w:before="300" w:after="160"/>
      </w:pPr>
      <w:r>
        <w:rPr>
          <w:rFonts w:ascii="Arial" w:cs="Arial" w:eastAsia="Arial" w:hAnsi="Arial"/>
          <w:b/>
          <w:bCs/>
          <w:color w:val="2E75B6"/>
          <w:sz w:val="30"/>
          <w:szCs w:val="30"/>
        </w:rPr>
        <w:t xml:space="preserve">3.3.1 Requirements Analysis Agent</w:t>
      </w:r>
    </w:p>
    <w:p>
      <w:pPr>
        <w:spacing w:before="60" w:after="60"/>
        <w:jc w:val="left"/>
      </w:pPr>
      <w:r>
        <w:rPr>
          <w:rFonts w:ascii="Arial" w:cs="Arial" w:eastAsia="Arial" w:hAnsi="Arial"/>
          <w:b w:val="false"/>
          <w:bCs w:val="false"/>
          <w:i w:val="false"/>
          <w:iCs w:val="false"/>
          <w:color w:val="2D2D2D"/>
          <w:sz w:val="22"/>
          <w:szCs w:val="22"/>
        </w:rPr>
        <w:t xml:space="preserve">The Requirements Analysis Agent is responsible for transforming raw initiative inputs—including business cases, stakeholder interviews, market research, and regulatory requirements—into structured, traceable, and implementable requirements artifacts. This agent operates at the earliest stage of the SDLC and produces the foundational artifacts that all downstream agents depend upon.</w:t>
      </w:r>
    </w:p>
    <w:p>
      <w:pPr>
        <w:pStyle w:val="Heading3"/>
        <w:spacing w:before="240" w:after="120"/>
      </w:pPr>
      <w:r>
        <w:rPr>
          <w:rFonts w:ascii="Arial" w:cs="Arial" w:eastAsia="Arial" w:hAnsi="Arial"/>
          <w:b/>
          <w:bCs/>
          <w:color w:val="4A90D9"/>
          <w:sz w:val="26"/>
          <w:szCs w:val="26"/>
        </w:rPr>
        <w:t xml:space="preserve">Core Capabilities</w:t>
      </w:r>
    </w:p>
    <w:p>
      <w:pPr>
        <w:pStyle w:val="ListParagraph"/>
        <w:numPr>
          <w:ilvl w:val="0"/>
          <w:numId w:val="2"/>
        </w:numPr>
        <w:spacing w:before="40" w:after="40"/>
      </w:pPr>
      <w:r>
        <w:rPr>
          <w:rFonts w:ascii="Arial" w:cs="Arial" w:eastAsia="Arial" w:hAnsi="Arial"/>
          <w:color w:val="2D2D2D"/>
          <w:sz w:val="22"/>
          <w:szCs w:val="22"/>
        </w:rPr>
        <w:t xml:space="preserve">Natural language processing of unstructured business requirements, stakeholder narratives, and regulatory text to extract discrete, testable requirement statements</w:t>
      </w:r>
    </w:p>
    <w:p>
      <w:pPr>
        <w:pStyle w:val="ListParagraph"/>
        <w:numPr>
          <w:ilvl w:val="0"/>
          <w:numId w:val="2"/>
        </w:numPr>
        <w:spacing w:before="40" w:after="40"/>
      </w:pPr>
      <w:r>
        <w:rPr>
          <w:rFonts w:ascii="Arial" w:cs="Arial" w:eastAsia="Arial" w:hAnsi="Arial"/>
          <w:color w:val="2D2D2D"/>
          <w:sz w:val="22"/>
          <w:szCs w:val="22"/>
        </w:rPr>
        <w:t xml:space="preserve">Automatic classification of requirements by type (functional, non-functional, compliance, security, accessibility, performance) and priority</w:t>
      </w:r>
    </w:p>
    <w:p>
      <w:pPr>
        <w:pStyle w:val="ListParagraph"/>
        <w:numPr>
          <w:ilvl w:val="0"/>
          <w:numId w:val="2"/>
        </w:numPr>
        <w:spacing w:before="40" w:after="40"/>
      </w:pPr>
      <w:r>
        <w:rPr>
          <w:rFonts w:ascii="Arial" w:cs="Arial" w:eastAsia="Arial" w:hAnsi="Arial"/>
          <w:color w:val="2D2D2D"/>
          <w:sz w:val="22"/>
          <w:szCs w:val="22"/>
        </w:rPr>
        <w:t xml:space="preserve">Dependency mapping between requirements to identify conflicts, redundancies, and implicit coupling</w:t>
      </w:r>
    </w:p>
    <w:p>
      <w:pPr>
        <w:pStyle w:val="ListParagraph"/>
        <w:numPr>
          <w:ilvl w:val="0"/>
          <w:numId w:val="2"/>
        </w:numPr>
        <w:spacing w:before="40" w:after="40"/>
      </w:pPr>
      <w:r>
        <w:rPr>
          <w:rFonts w:ascii="Arial" w:cs="Arial" w:eastAsia="Arial" w:hAnsi="Arial"/>
          <w:color w:val="2D2D2D"/>
          <w:sz w:val="22"/>
          <w:szCs w:val="22"/>
        </w:rPr>
        <w:t xml:space="preserve">Regulatory requirement tracing that links business requirements to applicable regulatory obligations based on the initiative’s jurisdiction, industry, and data classification</w:t>
      </w:r>
    </w:p>
    <w:p>
      <w:pPr>
        <w:pStyle w:val="ListParagraph"/>
        <w:numPr>
          <w:ilvl w:val="0"/>
          <w:numId w:val="2"/>
        </w:numPr>
        <w:spacing w:before="40" w:after="40"/>
      </w:pPr>
      <w:r>
        <w:rPr>
          <w:rFonts w:ascii="Arial" w:cs="Arial" w:eastAsia="Arial" w:hAnsi="Arial"/>
          <w:color w:val="2D2D2D"/>
          <w:sz w:val="22"/>
          <w:szCs w:val="22"/>
        </w:rPr>
        <w:t xml:space="preserve">Requirements completeness analysis that identifies gaps, ambiguities, and missing acceptance criteria</w:t>
      </w:r>
    </w:p>
    <w:p>
      <w:pPr>
        <w:pStyle w:val="ListParagraph"/>
        <w:numPr>
          <w:ilvl w:val="0"/>
          <w:numId w:val="2"/>
        </w:numPr>
        <w:spacing w:before="40" w:after="40"/>
      </w:pPr>
      <w:r>
        <w:rPr>
          <w:rFonts w:ascii="Arial" w:cs="Arial" w:eastAsia="Arial" w:hAnsi="Arial"/>
          <w:color w:val="2D2D2D"/>
          <w:sz w:val="22"/>
          <w:szCs w:val="22"/>
        </w:rPr>
        <w:t xml:space="preserve">User story generation with acceptance criteria, story point estimation, and sprint assignment recommendations</w:t>
      </w:r>
    </w:p>
    <w:p>
      <w:pPr>
        <w:pStyle w:val="ListParagraph"/>
        <w:numPr>
          <w:ilvl w:val="0"/>
          <w:numId w:val="2"/>
        </w:numPr>
        <w:spacing w:before="40" w:after="40"/>
      </w:pPr>
      <w:r>
        <w:rPr>
          <w:rFonts w:ascii="Arial" w:cs="Arial" w:eastAsia="Arial" w:hAnsi="Arial"/>
          <w:color w:val="2D2D2D"/>
          <w:sz w:val="22"/>
          <w:szCs w:val="22"/>
        </w:rPr>
        <w:t xml:space="preserve">Bidirectional traceability matrix generation linking requirements to their source documents, compliance obligations, and downstream artifacts</w:t>
      </w:r>
    </w:p>
    <w:p>
      <w:pPr>
        <w:pStyle w:val="Heading2"/>
        <w:spacing w:before="300" w:after="160"/>
      </w:pPr>
      <w:r>
        <w:rPr>
          <w:rFonts w:ascii="Arial" w:cs="Arial" w:eastAsia="Arial" w:hAnsi="Arial"/>
          <w:b/>
          <w:bCs/>
          <w:color w:val="2E75B6"/>
          <w:sz w:val="30"/>
          <w:szCs w:val="30"/>
        </w:rPr>
        <w:t xml:space="preserve">3.3.2 Architecture Design Agent</w:t>
      </w:r>
    </w:p>
    <w:p>
      <w:pPr>
        <w:spacing w:before="60" w:after="60"/>
        <w:jc w:val="left"/>
      </w:pPr>
      <w:r>
        <w:rPr>
          <w:rFonts w:ascii="Arial" w:cs="Arial" w:eastAsia="Arial" w:hAnsi="Arial"/>
          <w:b w:val="false"/>
          <w:bCs w:val="false"/>
          <w:i w:val="false"/>
          <w:iCs w:val="false"/>
          <w:color w:val="2D2D2D"/>
          <w:sz w:val="22"/>
          <w:szCs w:val="22"/>
        </w:rPr>
        <w:t xml:space="preserve">The Architecture Design Agent translates validated requirements into technical architecture specifications that define the system’s structural composition, integration patterns, data flows, and deployment topology. This agent ensures that architectural decisions are aligned with enterprise architecture standards, technology strategy, and the compliance requirements determined by the initiative’s risk classification.</w:t>
      </w:r>
    </w:p>
    <w:p>
      <w:pPr>
        <w:pStyle w:val="Heading3"/>
        <w:spacing w:before="240" w:after="120"/>
      </w:pPr>
      <w:r>
        <w:rPr>
          <w:rFonts w:ascii="Arial" w:cs="Arial" w:eastAsia="Arial" w:hAnsi="Arial"/>
          <w:b/>
          <w:bCs/>
          <w:color w:val="4A90D9"/>
          <w:sz w:val="26"/>
          <w:szCs w:val="26"/>
        </w:rPr>
        <w:t xml:space="preserve">Core Capabilities</w:t>
      </w:r>
    </w:p>
    <w:p>
      <w:pPr>
        <w:pStyle w:val="ListParagraph"/>
        <w:numPr>
          <w:ilvl w:val="0"/>
          <w:numId w:val="2"/>
        </w:numPr>
        <w:spacing w:before="40" w:after="40"/>
      </w:pPr>
      <w:r>
        <w:rPr>
          <w:rFonts w:ascii="Arial" w:cs="Arial" w:eastAsia="Arial" w:hAnsi="Arial"/>
          <w:color w:val="2D2D2D"/>
          <w:sz w:val="22"/>
          <w:szCs w:val="22"/>
        </w:rPr>
        <w:t xml:space="preserve">Generation of architecture decision records documenting technology selections, trade-off analyses, and rationale</w:t>
      </w:r>
    </w:p>
    <w:p>
      <w:pPr>
        <w:pStyle w:val="ListParagraph"/>
        <w:numPr>
          <w:ilvl w:val="0"/>
          <w:numId w:val="2"/>
        </w:numPr>
        <w:spacing w:before="40" w:after="40"/>
      </w:pPr>
      <w:r>
        <w:rPr>
          <w:rFonts w:ascii="Arial" w:cs="Arial" w:eastAsia="Arial" w:hAnsi="Arial"/>
          <w:color w:val="2D2D2D"/>
          <w:sz w:val="22"/>
          <w:szCs w:val="22"/>
        </w:rPr>
        <w:t xml:space="preserve">Automated pattern matching against the enterprise architecture pattern library to recommend proven architectures for common system types</w:t>
      </w:r>
    </w:p>
    <w:p>
      <w:pPr>
        <w:pStyle w:val="ListParagraph"/>
        <w:numPr>
          <w:ilvl w:val="0"/>
          <w:numId w:val="2"/>
        </w:numPr>
        <w:spacing w:before="40" w:after="40"/>
      </w:pPr>
      <w:r>
        <w:rPr>
          <w:rFonts w:ascii="Arial" w:cs="Arial" w:eastAsia="Arial" w:hAnsi="Arial"/>
          <w:color w:val="2D2D2D"/>
          <w:sz w:val="22"/>
          <w:szCs w:val="22"/>
        </w:rPr>
        <w:t xml:space="preserve">Scalability and performance modeling based on projected usage patterns and service-level requirements</w:t>
      </w:r>
    </w:p>
    <w:p>
      <w:pPr>
        <w:pStyle w:val="ListParagraph"/>
        <w:numPr>
          <w:ilvl w:val="0"/>
          <w:numId w:val="2"/>
        </w:numPr>
        <w:spacing w:before="40" w:after="40"/>
      </w:pPr>
      <w:r>
        <w:rPr>
          <w:rFonts w:ascii="Arial" w:cs="Arial" w:eastAsia="Arial" w:hAnsi="Arial"/>
          <w:color w:val="2D2D2D"/>
          <w:sz w:val="22"/>
          <w:szCs w:val="22"/>
        </w:rPr>
        <w:t xml:space="preserve">Security architecture integration including threat modeling, trust boundary identification, and control placement recommendations</w:t>
      </w:r>
    </w:p>
    <w:p>
      <w:pPr>
        <w:pStyle w:val="ListParagraph"/>
        <w:numPr>
          <w:ilvl w:val="0"/>
          <w:numId w:val="2"/>
        </w:numPr>
        <w:spacing w:before="40" w:after="40"/>
      </w:pPr>
      <w:r>
        <w:rPr>
          <w:rFonts w:ascii="Arial" w:cs="Arial" w:eastAsia="Arial" w:hAnsi="Arial"/>
          <w:color w:val="2D2D2D"/>
          <w:sz w:val="22"/>
          <w:szCs w:val="22"/>
        </w:rPr>
        <w:t xml:space="preserve">Data architecture design including data flow diagrams, storage strategy, encryption requirements, and data residency compliance</w:t>
      </w:r>
    </w:p>
    <w:p>
      <w:pPr>
        <w:pStyle w:val="ListParagraph"/>
        <w:numPr>
          <w:ilvl w:val="0"/>
          <w:numId w:val="2"/>
        </w:numPr>
        <w:spacing w:before="40" w:after="40"/>
      </w:pPr>
      <w:r>
        <w:rPr>
          <w:rFonts w:ascii="Arial" w:cs="Arial" w:eastAsia="Arial" w:hAnsi="Arial"/>
          <w:color w:val="2D2D2D"/>
          <w:sz w:val="22"/>
          <w:szCs w:val="22"/>
        </w:rPr>
        <w:t xml:space="preserve">API contract generation and inter-service communication design for microservices and distributed system architectures</w:t>
      </w:r>
    </w:p>
    <w:p>
      <w:pPr>
        <w:pStyle w:val="ListParagraph"/>
        <w:numPr>
          <w:ilvl w:val="0"/>
          <w:numId w:val="2"/>
        </w:numPr>
        <w:spacing w:before="40" w:after="40"/>
      </w:pPr>
      <w:r>
        <w:rPr>
          <w:rFonts w:ascii="Arial" w:cs="Arial" w:eastAsia="Arial" w:hAnsi="Arial"/>
          <w:color w:val="2D2D2D"/>
          <w:sz w:val="22"/>
          <w:szCs w:val="22"/>
        </w:rPr>
        <w:t xml:space="preserve">Infrastructure-as-code template generation aligned with cloud platform standards and cost optimization targets</w:t>
      </w:r>
    </w:p>
    <w:p>
      <w:pPr>
        <w:pStyle w:val="ListParagraph"/>
        <w:numPr>
          <w:ilvl w:val="0"/>
          <w:numId w:val="2"/>
        </w:numPr>
        <w:spacing w:before="40" w:after="40"/>
      </w:pPr>
      <w:r>
        <w:rPr>
          <w:rFonts w:ascii="Arial" w:cs="Arial" w:eastAsia="Arial" w:hAnsi="Arial"/>
          <w:color w:val="2D2D2D"/>
          <w:sz w:val="22"/>
          <w:szCs w:val="22"/>
        </w:rPr>
        <w:t xml:space="preserve">Architecture compliance validation against enterprise standards, regulatory requirements, and AI governance guardrails</w:t>
      </w:r>
    </w:p>
    <w:p>
      <w:pPr>
        <w:pStyle w:val="Heading2"/>
        <w:spacing w:before="300" w:after="160"/>
      </w:pPr>
      <w:r>
        <w:rPr>
          <w:rFonts w:ascii="Arial" w:cs="Arial" w:eastAsia="Arial" w:hAnsi="Arial"/>
          <w:b/>
          <w:bCs/>
          <w:color w:val="2E75B6"/>
          <w:sz w:val="30"/>
          <w:szCs w:val="30"/>
        </w:rPr>
        <w:t xml:space="preserve">3.3.3 Code Generation Agent</w:t>
      </w:r>
    </w:p>
    <w:p>
      <w:pPr>
        <w:spacing w:before="60" w:after="60"/>
        <w:jc w:val="left"/>
      </w:pPr>
      <w:r>
        <w:rPr>
          <w:rFonts w:ascii="Arial" w:cs="Arial" w:eastAsia="Arial" w:hAnsi="Arial"/>
          <w:b w:val="false"/>
          <w:bCs w:val="false"/>
          <w:i w:val="false"/>
          <w:iCs w:val="false"/>
          <w:color w:val="2D2D2D"/>
          <w:sz w:val="22"/>
          <w:szCs w:val="22"/>
        </w:rPr>
        <w:t xml:space="preserve">The Code Generation Agent is the primary artifact-producing agent in the development phase. It transforms architectural specifications and detailed requirements into production-quality source code that adheres to organizational coding standards, security best practices, and compliance requirements. This agent represents the most visible application of agentic automation in the SDLC and operates within the strictest compliance envelope to ensure that generated code meets enterprise quality standards.</w:t>
      </w:r>
    </w:p>
    <w:p>
      <w:pPr>
        <w:pStyle w:val="Heading3"/>
        <w:spacing w:before="240" w:after="120"/>
      </w:pPr>
      <w:r>
        <w:rPr>
          <w:rFonts w:ascii="Arial" w:cs="Arial" w:eastAsia="Arial" w:hAnsi="Arial"/>
          <w:b/>
          <w:bCs/>
          <w:color w:val="4A90D9"/>
          <w:sz w:val="26"/>
          <w:szCs w:val="26"/>
        </w:rPr>
        <w:t xml:space="preserve">Core Capabilities</w:t>
      </w:r>
    </w:p>
    <w:p>
      <w:pPr>
        <w:pStyle w:val="ListParagraph"/>
        <w:numPr>
          <w:ilvl w:val="0"/>
          <w:numId w:val="2"/>
        </w:numPr>
        <w:spacing w:before="40" w:after="40"/>
      </w:pPr>
      <w:r>
        <w:rPr>
          <w:rFonts w:ascii="Arial" w:cs="Arial" w:eastAsia="Arial" w:hAnsi="Arial"/>
          <w:color w:val="2D2D2D"/>
          <w:sz w:val="22"/>
          <w:szCs w:val="22"/>
        </w:rPr>
        <w:t xml:space="preserve">Context-aware code generation that considers the full architectural context, existing codebase patterns, and organizational coding standards</w:t>
      </w:r>
    </w:p>
    <w:p>
      <w:pPr>
        <w:pStyle w:val="ListParagraph"/>
        <w:numPr>
          <w:ilvl w:val="0"/>
          <w:numId w:val="2"/>
        </w:numPr>
        <w:spacing w:before="40" w:after="40"/>
      </w:pPr>
      <w:r>
        <w:rPr>
          <w:rFonts w:ascii="Arial" w:cs="Arial" w:eastAsia="Arial" w:hAnsi="Arial"/>
          <w:color w:val="2D2D2D"/>
          <w:sz w:val="22"/>
          <w:szCs w:val="22"/>
        </w:rPr>
        <w:t xml:space="preserve">Multi-language and multi-framework support with language-specific best practices and idiomatic code generation</w:t>
      </w:r>
    </w:p>
    <w:p>
      <w:pPr>
        <w:pStyle w:val="ListParagraph"/>
        <w:numPr>
          <w:ilvl w:val="0"/>
          <w:numId w:val="2"/>
        </w:numPr>
        <w:spacing w:before="40" w:after="40"/>
      </w:pPr>
      <w:r>
        <w:rPr>
          <w:rFonts w:ascii="Arial" w:cs="Arial" w:eastAsia="Arial" w:hAnsi="Arial"/>
          <w:color w:val="2D2D2D"/>
          <w:sz w:val="22"/>
          <w:szCs w:val="22"/>
        </w:rPr>
        <w:t xml:space="preserve">Compliance-embedded code generation where regulatory and policy requirements are woven into the code as native controls rather than bolt-on additions</w:t>
      </w:r>
    </w:p>
    <w:p>
      <w:pPr>
        <w:pStyle w:val="ListParagraph"/>
        <w:numPr>
          <w:ilvl w:val="0"/>
          <w:numId w:val="2"/>
        </w:numPr>
        <w:spacing w:before="40" w:after="40"/>
      </w:pPr>
      <w:r>
        <w:rPr>
          <w:rFonts w:ascii="Arial" w:cs="Arial" w:eastAsia="Arial" w:hAnsi="Arial"/>
          <w:color w:val="2D2D2D"/>
          <w:sz w:val="22"/>
          <w:szCs w:val="22"/>
        </w:rPr>
        <w:t xml:space="preserve">Secure coding pattern implementation including input validation, output encoding, authentication and authorization controls, and encryption integration</w:t>
      </w:r>
    </w:p>
    <w:p>
      <w:pPr>
        <w:pStyle w:val="ListParagraph"/>
        <w:numPr>
          <w:ilvl w:val="0"/>
          <w:numId w:val="2"/>
        </w:numPr>
        <w:spacing w:before="40" w:after="40"/>
      </w:pPr>
      <w:r>
        <w:rPr>
          <w:rFonts w:ascii="Arial" w:cs="Arial" w:eastAsia="Arial" w:hAnsi="Arial"/>
          <w:color w:val="2D2D2D"/>
          <w:sz w:val="22"/>
          <w:szCs w:val="22"/>
        </w:rPr>
        <w:t xml:space="preserve">API implementation from contract specifications with automatic generation of endpoint handlers, middleware, and data validation logic</w:t>
      </w:r>
    </w:p>
    <w:p>
      <w:pPr>
        <w:pStyle w:val="ListParagraph"/>
        <w:numPr>
          <w:ilvl w:val="0"/>
          <w:numId w:val="2"/>
        </w:numPr>
        <w:spacing w:before="40" w:after="40"/>
      </w:pPr>
      <w:r>
        <w:rPr>
          <w:rFonts w:ascii="Arial" w:cs="Arial" w:eastAsia="Arial" w:hAnsi="Arial"/>
          <w:color w:val="2D2D2D"/>
          <w:sz w:val="22"/>
          <w:szCs w:val="22"/>
        </w:rPr>
        <w:t xml:space="preserve">Database interaction layer generation including ORM mappings, query optimization, and connection pool management</w:t>
      </w:r>
    </w:p>
    <w:p>
      <w:pPr>
        <w:pStyle w:val="ListParagraph"/>
        <w:numPr>
          <w:ilvl w:val="0"/>
          <w:numId w:val="2"/>
        </w:numPr>
        <w:spacing w:before="40" w:after="40"/>
      </w:pPr>
      <w:r>
        <w:rPr>
          <w:rFonts w:ascii="Arial" w:cs="Arial" w:eastAsia="Arial" w:hAnsi="Arial"/>
          <w:color w:val="2D2D2D"/>
          <w:sz w:val="22"/>
          <w:szCs w:val="22"/>
        </w:rPr>
        <w:t xml:space="preserve">Configuration management code generation with environment-specific parameterization and secrets management integration</w:t>
      </w:r>
    </w:p>
    <w:p>
      <w:pPr>
        <w:pStyle w:val="ListParagraph"/>
        <w:numPr>
          <w:ilvl w:val="0"/>
          <w:numId w:val="2"/>
        </w:numPr>
        <w:spacing w:before="40" w:after="40"/>
      </w:pPr>
      <w:r>
        <w:rPr>
          <w:rFonts w:ascii="Arial" w:cs="Arial" w:eastAsia="Arial" w:hAnsi="Arial"/>
          <w:color w:val="2D2D2D"/>
          <w:sz w:val="22"/>
          <w:szCs w:val="22"/>
        </w:rPr>
        <w:t xml:space="preserve">Comprehensive inline documentation and code comments that explain design decisions, compliance rationale, and usage guidance</w:t>
      </w:r>
    </w:p>
    <w:p>
      <w:pPr>
        <w:pStyle w:val="Heading2"/>
        <w:spacing w:before="300" w:after="160"/>
      </w:pPr>
      <w:r>
        <w:rPr>
          <w:rFonts w:ascii="Arial" w:cs="Arial" w:eastAsia="Arial" w:hAnsi="Arial"/>
          <w:b/>
          <w:bCs/>
          <w:color w:val="2E75B6"/>
          <w:sz w:val="30"/>
          <w:szCs w:val="30"/>
        </w:rPr>
        <w:t xml:space="preserve">3.3.4 Code Review and Quality Agent</w:t>
      </w:r>
    </w:p>
    <w:p>
      <w:pPr>
        <w:spacing w:before="60" w:after="60"/>
        <w:jc w:val="left"/>
      </w:pPr>
      <w:r>
        <w:rPr>
          <w:rFonts w:ascii="Arial" w:cs="Arial" w:eastAsia="Arial" w:hAnsi="Arial"/>
          <w:b w:val="false"/>
          <w:bCs w:val="false"/>
          <w:i w:val="false"/>
          <w:iCs w:val="false"/>
          <w:color w:val="2D2D2D"/>
          <w:sz w:val="22"/>
          <w:szCs w:val="22"/>
        </w:rPr>
        <w:t xml:space="preserve">The Code Review and Quality Agent performs automated code review on all generated and human-written code, evaluating adherence to quality standards, identifying potential defects, assessing security vulnerabilities, and verifying compliance with applicable policies. This agent operates as a quality gate that must approve all code before it can progress to the testing phase.</w:t>
      </w:r>
    </w:p>
    <w:p>
      <w:pPr>
        <w:pStyle w:val="Heading3"/>
        <w:spacing w:before="240" w:after="120"/>
      </w:pPr>
      <w:r>
        <w:rPr>
          <w:rFonts w:ascii="Arial" w:cs="Arial" w:eastAsia="Arial" w:hAnsi="Arial"/>
          <w:b/>
          <w:bCs/>
          <w:color w:val="4A90D9"/>
          <w:sz w:val="26"/>
          <w:szCs w:val="26"/>
        </w:rPr>
        <w:t xml:space="preserve">Core Capabilities</w:t>
      </w:r>
    </w:p>
    <w:p>
      <w:pPr>
        <w:pStyle w:val="ListParagraph"/>
        <w:numPr>
          <w:ilvl w:val="0"/>
          <w:numId w:val="2"/>
        </w:numPr>
        <w:spacing w:before="40" w:after="40"/>
      </w:pPr>
      <w:r>
        <w:rPr>
          <w:rFonts w:ascii="Arial" w:cs="Arial" w:eastAsia="Arial" w:hAnsi="Arial"/>
          <w:color w:val="2D2D2D"/>
          <w:sz w:val="22"/>
          <w:szCs w:val="22"/>
        </w:rPr>
        <w:t xml:space="preserve">Static analysis integration covering code complexity, maintainability, technical debt assessment, and adherence to coding standards</w:t>
      </w:r>
    </w:p>
    <w:p>
      <w:pPr>
        <w:pStyle w:val="ListParagraph"/>
        <w:numPr>
          <w:ilvl w:val="0"/>
          <w:numId w:val="2"/>
        </w:numPr>
        <w:spacing w:before="40" w:after="40"/>
      </w:pPr>
      <w:r>
        <w:rPr>
          <w:rFonts w:ascii="Arial" w:cs="Arial" w:eastAsia="Arial" w:hAnsi="Arial"/>
          <w:color w:val="2D2D2D"/>
          <w:sz w:val="22"/>
          <w:szCs w:val="22"/>
        </w:rPr>
        <w:t xml:space="preserve">Security vulnerability detection including pattern-based detection for common vulnerability classes (injection, authentication bypass, sensitive data exposure) and AI-assisted identification of novel vulnerability patterns</w:t>
      </w:r>
    </w:p>
    <w:p>
      <w:pPr>
        <w:pStyle w:val="ListParagraph"/>
        <w:numPr>
          <w:ilvl w:val="0"/>
          <w:numId w:val="2"/>
        </w:numPr>
        <w:spacing w:before="40" w:after="40"/>
      </w:pPr>
      <w:r>
        <w:rPr>
          <w:rFonts w:ascii="Arial" w:cs="Arial" w:eastAsia="Arial" w:hAnsi="Arial"/>
          <w:color w:val="2D2D2D"/>
          <w:sz w:val="22"/>
          <w:szCs w:val="22"/>
        </w:rPr>
        <w:t xml:space="preserve">Compliance verification confirming that code implements required controls as specified by the compliance envelope</w:t>
      </w:r>
    </w:p>
    <w:p>
      <w:pPr>
        <w:pStyle w:val="ListParagraph"/>
        <w:numPr>
          <w:ilvl w:val="0"/>
          <w:numId w:val="2"/>
        </w:numPr>
        <w:spacing w:before="40" w:after="40"/>
      </w:pPr>
      <w:r>
        <w:rPr>
          <w:rFonts w:ascii="Arial" w:cs="Arial" w:eastAsia="Arial" w:hAnsi="Arial"/>
          <w:color w:val="2D2D2D"/>
          <w:sz w:val="22"/>
          <w:szCs w:val="22"/>
        </w:rPr>
        <w:t xml:space="preserve">Performance anti-pattern detection identifying code constructs that may cause performance degradation under load</w:t>
      </w:r>
    </w:p>
    <w:p>
      <w:pPr>
        <w:pStyle w:val="ListParagraph"/>
        <w:numPr>
          <w:ilvl w:val="0"/>
          <w:numId w:val="2"/>
        </w:numPr>
        <w:spacing w:before="40" w:after="40"/>
      </w:pPr>
      <w:r>
        <w:rPr>
          <w:rFonts w:ascii="Arial" w:cs="Arial" w:eastAsia="Arial" w:hAnsi="Arial"/>
          <w:color w:val="2D2D2D"/>
          <w:sz w:val="22"/>
          <w:szCs w:val="22"/>
        </w:rPr>
        <w:t xml:space="preserve">Dependency analysis and vulnerability assessment of third-party libraries and packages</w:t>
      </w:r>
    </w:p>
    <w:p>
      <w:pPr>
        <w:pStyle w:val="ListParagraph"/>
        <w:numPr>
          <w:ilvl w:val="0"/>
          <w:numId w:val="2"/>
        </w:numPr>
        <w:spacing w:before="40" w:after="40"/>
      </w:pPr>
      <w:r>
        <w:rPr>
          <w:rFonts w:ascii="Arial" w:cs="Arial" w:eastAsia="Arial" w:hAnsi="Arial"/>
          <w:color w:val="2D2D2D"/>
          <w:sz w:val="22"/>
          <w:szCs w:val="22"/>
        </w:rPr>
        <w:t xml:space="preserve">Code duplication and redundancy detection with refactoring recommendations</w:t>
      </w:r>
    </w:p>
    <w:p>
      <w:pPr>
        <w:pStyle w:val="ListParagraph"/>
        <w:numPr>
          <w:ilvl w:val="0"/>
          <w:numId w:val="2"/>
        </w:numPr>
        <w:spacing w:before="40" w:after="40"/>
      </w:pPr>
      <w:r>
        <w:rPr>
          <w:rFonts w:ascii="Arial" w:cs="Arial" w:eastAsia="Arial" w:hAnsi="Arial"/>
          <w:color w:val="2D2D2D"/>
          <w:sz w:val="22"/>
          <w:szCs w:val="22"/>
        </w:rPr>
        <w:t xml:space="preserve">Automated fix generation for identified issues, with proposed changes presented for review or automatically applied based on risk classification and confidence level</w:t>
      </w:r>
    </w:p>
    <w:p>
      <w:pPr>
        <w:pStyle w:val="ListParagraph"/>
        <w:numPr>
          <w:ilvl w:val="0"/>
          <w:numId w:val="2"/>
        </w:numPr>
        <w:spacing w:before="40" w:after="40"/>
      </w:pPr>
      <w:r>
        <w:rPr>
          <w:rFonts w:ascii="Arial" w:cs="Arial" w:eastAsia="Arial" w:hAnsi="Arial"/>
          <w:color w:val="2D2D2D"/>
          <w:sz w:val="22"/>
          <w:szCs w:val="22"/>
        </w:rPr>
        <w:t xml:space="preserve">Review comment generation that explains findings in terms that developers can use for learning and improvement</w:t>
      </w:r>
    </w:p>
    <w:p>
      <w:pPr>
        <w:pStyle w:val="Heading2"/>
        <w:spacing w:before="300" w:after="160"/>
      </w:pPr>
      <w:r>
        <w:rPr>
          <w:rFonts w:ascii="Arial" w:cs="Arial" w:eastAsia="Arial" w:hAnsi="Arial"/>
          <w:b/>
          <w:bCs/>
          <w:color w:val="2E75B6"/>
          <w:sz w:val="30"/>
          <w:szCs w:val="30"/>
        </w:rPr>
        <w:t xml:space="preserve">3.3.5 Testing and Validation Agent</w:t>
      </w:r>
    </w:p>
    <w:p>
      <w:pPr>
        <w:spacing w:before="60" w:after="60"/>
        <w:jc w:val="left"/>
      </w:pPr>
      <w:r>
        <w:rPr>
          <w:rFonts w:ascii="Arial" w:cs="Arial" w:eastAsia="Arial" w:hAnsi="Arial"/>
          <w:b w:val="false"/>
          <w:bCs w:val="false"/>
          <w:i w:val="false"/>
          <w:iCs w:val="false"/>
          <w:color w:val="2D2D2D"/>
          <w:sz w:val="22"/>
          <w:szCs w:val="22"/>
        </w:rPr>
        <w:t xml:space="preserve">The Testing and Validation Agent is responsible for comprehensive test generation, execution, and analysis across all testing levels. This agent ensures that software behavior is verified against requirements, that edge cases and failure modes are explored, and that testing coverage meets the thresholds defined by the initiative’s risk classification.</w:t>
      </w:r>
    </w:p>
    <w:p>
      <w:pPr>
        <w:pStyle w:val="Heading3"/>
        <w:spacing w:before="240" w:after="120"/>
      </w:pPr>
      <w:r>
        <w:rPr>
          <w:rFonts w:ascii="Arial" w:cs="Arial" w:eastAsia="Arial" w:hAnsi="Arial"/>
          <w:b/>
          <w:bCs/>
          <w:color w:val="4A90D9"/>
          <w:sz w:val="26"/>
          <w:szCs w:val="26"/>
        </w:rPr>
        <w:t xml:space="preserve">Core Capabilities</w:t>
      </w:r>
    </w:p>
    <w:p>
      <w:pPr>
        <w:pStyle w:val="ListParagraph"/>
        <w:numPr>
          <w:ilvl w:val="0"/>
          <w:numId w:val="2"/>
        </w:numPr>
        <w:spacing w:before="40" w:after="40"/>
      </w:pPr>
      <w:r>
        <w:rPr>
          <w:rFonts w:ascii="Arial" w:cs="Arial" w:eastAsia="Arial" w:hAnsi="Arial"/>
          <w:color w:val="2D2D2D"/>
          <w:sz w:val="22"/>
          <w:szCs w:val="22"/>
        </w:rPr>
        <w:t xml:space="preserve">Automated test case generation from requirements, user stories, and acceptance criteria, covering unit, integration, system, and end-to-end testing levels</w:t>
      </w:r>
    </w:p>
    <w:p>
      <w:pPr>
        <w:pStyle w:val="ListParagraph"/>
        <w:numPr>
          <w:ilvl w:val="0"/>
          <w:numId w:val="2"/>
        </w:numPr>
        <w:spacing w:before="40" w:after="40"/>
      </w:pPr>
      <w:r>
        <w:rPr>
          <w:rFonts w:ascii="Arial" w:cs="Arial" w:eastAsia="Arial" w:hAnsi="Arial"/>
          <w:color w:val="2D2D2D"/>
          <w:sz w:val="22"/>
          <w:szCs w:val="22"/>
        </w:rPr>
        <w:t xml:space="preserve">Test data generation including synthetic data creation, data masking for compliance with privacy regulations, and boundary value analysis</w:t>
      </w:r>
    </w:p>
    <w:p>
      <w:pPr>
        <w:pStyle w:val="ListParagraph"/>
        <w:numPr>
          <w:ilvl w:val="0"/>
          <w:numId w:val="2"/>
        </w:numPr>
        <w:spacing w:before="40" w:after="40"/>
      </w:pPr>
      <w:r>
        <w:rPr>
          <w:rFonts w:ascii="Arial" w:cs="Arial" w:eastAsia="Arial" w:hAnsi="Arial"/>
          <w:color w:val="2D2D2D"/>
          <w:sz w:val="22"/>
          <w:szCs w:val="22"/>
        </w:rPr>
        <w:t xml:space="preserve">Mutation testing to verify test suite effectiveness by introducing controlled code mutations and confirming detection</w:t>
      </w:r>
    </w:p>
    <w:p>
      <w:pPr>
        <w:pStyle w:val="ListParagraph"/>
        <w:numPr>
          <w:ilvl w:val="0"/>
          <w:numId w:val="2"/>
        </w:numPr>
        <w:spacing w:before="40" w:after="40"/>
      </w:pPr>
      <w:r>
        <w:rPr>
          <w:rFonts w:ascii="Arial" w:cs="Arial" w:eastAsia="Arial" w:hAnsi="Arial"/>
          <w:color w:val="2D2D2D"/>
          <w:sz w:val="22"/>
          <w:szCs w:val="22"/>
        </w:rPr>
        <w:t xml:space="preserve">Performance and load testing scenario generation based on projected usage patterns and service-level requirements</w:t>
      </w:r>
    </w:p>
    <w:p>
      <w:pPr>
        <w:pStyle w:val="ListParagraph"/>
        <w:numPr>
          <w:ilvl w:val="0"/>
          <w:numId w:val="2"/>
        </w:numPr>
        <w:spacing w:before="40" w:after="40"/>
      </w:pPr>
      <w:r>
        <w:rPr>
          <w:rFonts w:ascii="Arial" w:cs="Arial" w:eastAsia="Arial" w:hAnsi="Arial"/>
          <w:color w:val="2D2D2D"/>
          <w:sz w:val="22"/>
          <w:szCs w:val="22"/>
        </w:rPr>
        <w:t xml:space="preserve">Accessibility testing automation for WCAG compliance and assistive technology compatibility</w:t>
      </w:r>
    </w:p>
    <w:p>
      <w:pPr>
        <w:pStyle w:val="ListParagraph"/>
        <w:numPr>
          <w:ilvl w:val="0"/>
          <w:numId w:val="2"/>
        </w:numPr>
        <w:spacing w:before="40" w:after="40"/>
      </w:pPr>
      <w:r>
        <w:rPr>
          <w:rFonts w:ascii="Arial" w:cs="Arial" w:eastAsia="Arial" w:hAnsi="Arial"/>
          <w:color w:val="2D2D2D"/>
          <w:sz w:val="22"/>
          <w:szCs w:val="22"/>
        </w:rPr>
        <w:t xml:space="preserve">AI-driven test prioritization that focuses testing effort on the areas of highest risk and highest change impact</w:t>
      </w:r>
    </w:p>
    <w:p>
      <w:pPr>
        <w:pStyle w:val="ListParagraph"/>
        <w:numPr>
          <w:ilvl w:val="0"/>
          <w:numId w:val="2"/>
        </w:numPr>
        <w:spacing w:before="40" w:after="40"/>
      </w:pPr>
      <w:r>
        <w:rPr>
          <w:rFonts w:ascii="Arial" w:cs="Arial" w:eastAsia="Arial" w:hAnsi="Arial"/>
          <w:color w:val="2D2D2D"/>
          <w:sz w:val="22"/>
          <w:szCs w:val="22"/>
        </w:rPr>
        <w:t xml:space="preserve">Regression test suite optimization that maintains coverage while reducing execution time through intelligent test selection</w:t>
      </w:r>
    </w:p>
    <w:p>
      <w:pPr>
        <w:pStyle w:val="ListParagraph"/>
        <w:numPr>
          <w:ilvl w:val="0"/>
          <w:numId w:val="2"/>
        </w:numPr>
        <w:spacing w:before="40" w:after="40"/>
      </w:pPr>
      <w:r>
        <w:rPr>
          <w:rFonts w:ascii="Arial" w:cs="Arial" w:eastAsia="Arial" w:hAnsi="Arial"/>
          <w:color w:val="2D2D2D"/>
          <w:sz w:val="22"/>
          <w:szCs w:val="22"/>
        </w:rPr>
        <w:t xml:space="preserve">Test result analysis with automated defect classification, root cause hypothesis generation, and retest scheduling</w:t>
      </w:r>
    </w:p>
    <w:p>
      <w:pPr>
        <w:pStyle w:val="Heading2"/>
        <w:spacing w:before="300" w:after="160"/>
      </w:pPr>
      <w:r>
        <w:rPr>
          <w:rFonts w:ascii="Arial" w:cs="Arial" w:eastAsia="Arial" w:hAnsi="Arial"/>
          <w:b/>
          <w:bCs/>
          <w:color w:val="2E75B6"/>
          <w:sz w:val="30"/>
          <w:szCs w:val="30"/>
        </w:rPr>
        <w:t xml:space="preserve">3.3.6 Security and Compliance Agent</w:t>
      </w:r>
    </w:p>
    <w:p>
      <w:pPr>
        <w:spacing w:before="60" w:after="60"/>
        <w:jc w:val="left"/>
      </w:pPr>
      <w:r>
        <w:rPr>
          <w:rFonts w:ascii="Arial" w:cs="Arial" w:eastAsia="Arial" w:hAnsi="Arial"/>
          <w:b w:val="false"/>
          <w:bCs w:val="false"/>
          <w:i w:val="false"/>
          <w:iCs w:val="false"/>
          <w:color w:val="2D2D2D"/>
          <w:sz w:val="22"/>
          <w:szCs w:val="22"/>
        </w:rPr>
        <w:t xml:space="preserve">The Security and Compliance Agent operates as a cross-cutting concern across all SDLC phases, continuously validating that development activities and artifacts conform to the security and compliance requirements defined by the initiative’s risk classification. This agent serves as the automated embodiment of the organization’s security and compliance functions within the development workflow.</w:t>
      </w:r>
    </w:p>
    <w:p>
      <w:pPr>
        <w:pStyle w:val="Heading3"/>
        <w:spacing w:before="240" w:after="120"/>
      </w:pPr>
      <w:r>
        <w:rPr>
          <w:rFonts w:ascii="Arial" w:cs="Arial" w:eastAsia="Arial" w:hAnsi="Arial"/>
          <w:b/>
          <w:bCs/>
          <w:color w:val="4A90D9"/>
          <w:sz w:val="26"/>
          <w:szCs w:val="26"/>
        </w:rPr>
        <w:t xml:space="preserve">Core Capabilities</w:t>
      </w:r>
    </w:p>
    <w:p>
      <w:pPr>
        <w:pStyle w:val="ListParagraph"/>
        <w:numPr>
          <w:ilvl w:val="0"/>
          <w:numId w:val="2"/>
        </w:numPr>
        <w:spacing w:before="40" w:after="40"/>
      </w:pPr>
      <w:r>
        <w:rPr>
          <w:rFonts w:ascii="Arial" w:cs="Arial" w:eastAsia="Arial" w:hAnsi="Arial"/>
          <w:color w:val="2D2D2D"/>
          <w:sz w:val="22"/>
          <w:szCs w:val="22"/>
        </w:rPr>
        <w:t xml:space="preserve">Threat modeling automation including attack surface analysis, threat enumeration, and control mapping for each system component</w:t>
      </w:r>
    </w:p>
    <w:p>
      <w:pPr>
        <w:pStyle w:val="ListParagraph"/>
        <w:numPr>
          <w:ilvl w:val="0"/>
          <w:numId w:val="2"/>
        </w:numPr>
        <w:spacing w:before="40" w:after="40"/>
      </w:pPr>
      <w:r>
        <w:rPr>
          <w:rFonts w:ascii="Arial" w:cs="Arial" w:eastAsia="Arial" w:hAnsi="Arial"/>
          <w:color w:val="2D2D2D"/>
          <w:sz w:val="22"/>
          <w:szCs w:val="22"/>
        </w:rPr>
        <w:t xml:space="preserve">Dynamic security testing orchestration including penetration testing automation for common attack vectors</w:t>
      </w:r>
    </w:p>
    <w:p>
      <w:pPr>
        <w:pStyle w:val="ListParagraph"/>
        <w:numPr>
          <w:ilvl w:val="0"/>
          <w:numId w:val="2"/>
        </w:numPr>
        <w:spacing w:before="40" w:after="40"/>
      </w:pPr>
      <w:r>
        <w:rPr>
          <w:rFonts w:ascii="Arial" w:cs="Arial" w:eastAsia="Arial" w:hAnsi="Arial"/>
          <w:color w:val="2D2D2D"/>
          <w:sz w:val="22"/>
          <w:szCs w:val="22"/>
        </w:rPr>
        <w:t xml:space="preserve">Compliance evidence collection and packaging for audit readiness, including automated generation of compliance matrices and control attestation documents</w:t>
      </w:r>
    </w:p>
    <w:p>
      <w:pPr>
        <w:pStyle w:val="ListParagraph"/>
        <w:numPr>
          <w:ilvl w:val="0"/>
          <w:numId w:val="2"/>
        </w:numPr>
        <w:spacing w:before="40" w:after="40"/>
      </w:pPr>
      <w:r>
        <w:rPr>
          <w:rFonts w:ascii="Arial" w:cs="Arial" w:eastAsia="Arial" w:hAnsi="Arial"/>
          <w:color w:val="2D2D2D"/>
          <w:sz w:val="22"/>
          <w:szCs w:val="22"/>
        </w:rPr>
        <w:t xml:space="preserve">Regulatory change monitoring and impact assessment that identifies when regulatory updates affect active or deployed initiatives</w:t>
      </w:r>
    </w:p>
    <w:p>
      <w:pPr>
        <w:pStyle w:val="ListParagraph"/>
        <w:numPr>
          <w:ilvl w:val="0"/>
          <w:numId w:val="2"/>
        </w:numPr>
        <w:spacing w:before="40" w:after="40"/>
      </w:pPr>
      <w:r>
        <w:rPr>
          <w:rFonts w:ascii="Arial" w:cs="Arial" w:eastAsia="Arial" w:hAnsi="Arial"/>
          <w:color w:val="2D2D2D"/>
          <w:sz w:val="22"/>
          <w:szCs w:val="22"/>
        </w:rPr>
        <w:t xml:space="preserve">Security control effectiveness validation through continuous testing of implemented controls</w:t>
      </w:r>
    </w:p>
    <w:p>
      <w:pPr>
        <w:pStyle w:val="ListParagraph"/>
        <w:numPr>
          <w:ilvl w:val="0"/>
          <w:numId w:val="2"/>
        </w:numPr>
        <w:spacing w:before="40" w:after="40"/>
      </w:pPr>
      <w:r>
        <w:rPr>
          <w:rFonts w:ascii="Arial" w:cs="Arial" w:eastAsia="Arial" w:hAnsi="Arial"/>
          <w:color w:val="2D2D2D"/>
          <w:sz w:val="22"/>
          <w:szCs w:val="22"/>
        </w:rPr>
        <w:t xml:space="preserve">Data protection and privacy compliance validation including data flow analysis, consent management verification, and cross-border transfer compliance</w:t>
      </w:r>
    </w:p>
    <w:p>
      <w:pPr>
        <w:pStyle w:val="ListParagraph"/>
        <w:numPr>
          <w:ilvl w:val="0"/>
          <w:numId w:val="2"/>
        </w:numPr>
        <w:spacing w:before="40" w:after="40"/>
      </w:pPr>
      <w:r>
        <w:rPr>
          <w:rFonts w:ascii="Arial" w:cs="Arial" w:eastAsia="Arial" w:hAnsi="Arial"/>
          <w:color w:val="2D2D2D"/>
          <w:sz w:val="22"/>
          <w:szCs w:val="22"/>
        </w:rPr>
        <w:t xml:space="preserve">Vulnerability management lifecycle automation from detection through remediation verification and risk acceptance documentation</w:t>
      </w:r>
    </w:p>
    <w:p>
      <w:pPr>
        <w:pStyle w:val="ListParagraph"/>
        <w:numPr>
          <w:ilvl w:val="0"/>
          <w:numId w:val="2"/>
        </w:numPr>
        <w:spacing w:before="40" w:after="40"/>
      </w:pPr>
      <w:r>
        <w:rPr>
          <w:rFonts w:ascii="Arial" w:cs="Arial" w:eastAsia="Arial" w:hAnsi="Arial"/>
          <w:color w:val="2D2D2D"/>
          <w:sz w:val="22"/>
          <w:szCs w:val="22"/>
        </w:rPr>
        <w:t xml:space="preserve">Security architecture review for alignment with zero-trust principles, defense-in-depth strategies, and industry-specific security frameworks</w:t>
      </w:r>
    </w:p>
    <w:p>
      <w:pPr>
        <w:pStyle w:val="Heading2"/>
        <w:spacing w:before="300" w:after="160"/>
      </w:pPr>
      <w:r>
        <w:rPr>
          <w:rFonts w:ascii="Arial" w:cs="Arial" w:eastAsia="Arial" w:hAnsi="Arial"/>
          <w:b/>
          <w:bCs/>
          <w:color w:val="2E75B6"/>
          <w:sz w:val="30"/>
          <w:szCs w:val="30"/>
        </w:rPr>
        <w:t xml:space="preserve">3.3.7 Documentation Agent</w:t>
      </w:r>
    </w:p>
    <w:p>
      <w:pPr>
        <w:spacing w:before="60" w:after="60"/>
        <w:jc w:val="left"/>
      </w:pPr>
      <w:r>
        <w:rPr>
          <w:rFonts w:ascii="Arial" w:cs="Arial" w:eastAsia="Arial" w:hAnsi="Arial"/>
          <w:b w:val="false"/>
          <w:bCs w:val="false"/>
          <w:i w:val="false"/>
          <w:iCs w:val="false"/>
          <w:color w:val="2D2D2D"/>
          <w:sz w:val="22"/>
          <w:szCs w:val="22"/>
        </w:rPr>
        <w:t xml:space="preserve">The Documentation Agent generates and maintains all documentation artifacts throughout the SDLC, ensuring that technical documentation, operational runbooks, user guides, and compliance documentation remain current and consistent with the actual system implementation. This agent eliminates the documentation drift that commonly occurs when documentation is treated as a separate, manual activity.</w:t>
      </w:r>
    </w:p>
    <w:p>
      <w:pPr>
        <w:pStyle w:val="Heading3"/>
        <w:spacing w:before="240" w:after="120"/>
      </w:pPr>
      <w:r>
        <w:rPr>
          <w:rFonts w:ascii="Arial" w:cs="Arial" w:eastAsia="Arial" w:hAnsi="Arial"/>
          <w:b/>
          <w:bCs/>
          <w:color w:val="4A90D9"/>
          <w:sz w:val="26"/>
          <w:szCs w:val="26"/>
        </w:rPr>
        <w:t xml:space="preserve">Core Capabilities</w:t>
      </w:r>
    </w:p>
    <w:p>
      <w:pPr>
        <w:pStyle w:val="ListParagraph"/>
        <w:numPr>
          <w:ilvl w:val="0"/>
          <w:numId w:val="2"/>
        </w:numPr>
        <w:spacing w:before="40" w:after="40"/>
      </w:pPr>
      <w:r>
        <w:rPr>
          <w:rFonts w:ascii="Arial" w:cs="Arial" w:eastAsia="Arial" w:hAnsi="Arial"/>
          <w:color w:val="2D2D2D"/>
          <w:sz w:val="22"/>
          <w:szCs w:val="22"/>
        </w:rPr>
        <w:t xml:space="preserve">API documentation generation from code annotations, interface contracts, and usage patterns</w:t>
      </w:r>
    </w:p>
    <w:p>
      <w:pPr>
        <w:pStyle w:val="ListParagraph"/>
        <w:numPr>
          <w:ilvl w:val="0"/>
          <w:numId w:val="2"/>
        </w:numPr>
        <w:spacing w:before="40" w:after="40"/>
      </w:pPr>
      <w:r>
        <w:rPr>
          <w:rFonts w:ascii="Arial" w:cs="Arial" w:eastAsia="Arial" w:hAnsi="Arial"/>
          <w:color w:val="2D2D2D"/>
          <w:sz w:val="22"/>
          <w:szCs w:val="22"/>
        </w:rPr>
        <w:t xml:space="preserve">Architecture documentation including system context diagrams, component diagrams, deployment diagrams, and data flow diagrams</w:t>
      </w:r>
    </w:p>
    <w:p>
      <w:pPr>
        <w:pStyle w:val="ListParagraph"/>
        <w:numPr>
          <w:ilvl w:val="0"/>
          <w:numId w:val="2"/>
        </w:numPr>
        <w:spacing w:before="40" w:after="40"/>
      </w:pPr>
      <w:r>
        <w:rPr>
          <w:rFonts w:ascii="Arial" w:cs="Arial" w:eastAsia="Arial" w:hAnsi="Arial"/>
          <w:color w:val="2D2D2D"/>
          <w:sz w:val="22"/>
          <w:szCs w:val="22"/>
        </w:rPr>
        <w:t xml:space="preserve">Operational runbook generation including deployment procedures, monitoring configuration, incident response procedures, and disaster recovery playbooks</w:t>
      </w:r>
    </w:p>
    <w:p>
      <w:pPr>
        <w:pStyle w:val="ListParagraph"/>
        <w:numPr>
          <w:ilvl w:val="0"/>
          <w:numId w:val="2"/>
        </w:numPr>
        <w:spacing w:before="40" w:after="40"/>
      </w:pPr>
      <w:r>
        <w:rPr>
          <w:rFonts w:ascii="Arial" w:cs="Arial" w:eastAsia="Arial" w:hAnsi="Arial"/>
          <w:color w:val="2D2D2D"/>
          <w:sz w:val="22"/>
          <w:szCs w:val="22"/>
        </w:rPr>
        <w:t xml:space="preserve">User documentation generation including feature guides, tutorials, and FAQ content</w:t>
      </w:r>
    </w:p>
    <w:p>
      <w:pPr>
        <w:pStyle w:val="ListParagraph"/>
        <w:numPr>
          <w:ilvl w:val="0"/>
          <w:numId w:val="2"/>
        </w:numPr>
        <w:spacing w:before="40" w:after="40"/>
      </w:pPr>
      <w:r>
        <w:rPr>
          <w:rFonts w:ascii="Arial" w:cs="Arial" w:eastAsia="Arial" w:hAnsi="Arial"/>
          <w:color w:val="2D2D2D"/>
          <w:sz w:val="22"/>
          <w:szCs w:val="22"/>
        </w:rPr>
        <w:t xml:space="preserve">Compliance documentation assembly including control descriptions, evidence packages, and audit-ready compliance reports</w:t>
      </w:r>
    </w:p>
    <w:p>
      <w:pPr>
        <w:pStyle w:val="ListParagraph"/>
        <w:numPr>
          <w:ilvl w:val="0"/>
          <w:numId w:val="2"/>
        </w:numPr>
        <w:spacing w:before="40" w:after="40"/>
      </w:pPr>
      <w:r>
        <w:rPr>
          <w:rFonts w:ascii="Arial" w:cs="Arial" w:eastAsia="Arial" w:hAnsi="Arial"/>
          <w:color w:val="2D2D2D"/>
          <w:sz w:val="22"/>
          <w:szCs w:val="22"/>
        </w:rPr>
        <w:t xml:space="preserve">Release notes generation that summarizes changes, highlights compliance impacts, and provides upgrade guidance</w:t>
      </w:r>
    </w:p>
    <w:p>
      <w:pPr>
        <w:pStyle w:val="ListParagraph"/>
        <w:numPr>
          <w:ilvl w:val="0"/>
          <w:numId w:val="2"/>
        </w:numPr>
        <w:spacing w:before="40" w:after="40"/>
      </w:pPr>
      <w:r>
        <w:rPr>
          <w:rFonts w:ascii="Arial" w:cs="Arial" w:eastAsia="Arial" w:hAnsi="Arial"/>
          <w:color w:val="2D2D2D"/>
          <w:sz w:val="22"/>
          <w:szCs w:val="22"/>
        </w:rPr>
        <w:t xml:space="preserve">Documentation consistency validation that identifies contradictions or gaps across related documents</w:t>
      </w:r>
    </w:p>
    <w:p>
      <w:pPr>
        <w:pStyle w:val="ListParagraph"/>
        <w:numPr>
          <w:ilvl w:val="0"/>
          <w:numId w:val="2"/>
        </w:numPr>
        <w:spacing w:before="40" w:after="40"/>
      </w:pPr>
      <w:r>
        <w:rPr>
          <w:rFonts w:ascii="Arial" w:cs="Arial" w:eastAsia="Arial" w:hAnsi="Arial"/>
          <w:color w:val="2D2D2D"/>
          <w:sz w:val="22"/>
          <w:szCs w:val="22"/>
        </w:rPr>
        <w:t xml:space="preserve">Multi-format output supporting web-based documentation portals, PDF generation, and integration with enterprise knowledge management systems</w:t>
      </w:r>
    </w:p>
    <w:p>
      <w:pPr>
        <w:pStyle w:val="Heading2"/>
        <w:spacing w:before="300" w:after="160"/>
      </w:pPr>
      <w:r>
        <w:rPr>
          <w:rFonts w:ascii="Arial" w:cs="Arial" w:eastAsia="Arial" w:hAnsi="Arial"/>
          <w:b/>
          <w:bCs/>
          <w:color w:val="2E75B6"/>
          <w:sz w:val="30"/>
          <w:szCs w:val="30"/>
        </w:rPr>
        <w:t xml:space="preserve">3.3.8 Deployment and Release Agent</w:t>
      </w:r>
    </w:p>
    <w:p>
      <w:pPr>
        <w:spacing w:before="60" w:after="60"/>
        <w:jc w:val="left"/>
      </w:pPr>
      <w:r>
        <w:rPr>
          <w:rFonts w:ascii="Arial" w:cs="Arial" w:eastAsia="Arial" w:hAnsi="Arial"/>
          <w:b w:val="false"/>
          <w:bCs w:val="false"/>
          <w:i w:val="false"/>
          <w:iCs w:val="false"/>
          <w:color w:val="2D2D2D"/>
          <w:sz w:val="22"/>
          <w:szCs w:val="22"/>
        </w:rPr>
        <w:t xml:space="preserve">The Deployment and Release Agent manages the automated deployment of validated software artifacts through the organization’s environment promotion pipeline. This agent orchestrates the technical deployment process while enforcing the governance controls required at each environment transition.</w:t>
      </w:r>
    </w:p>
    <w:p>
      <w:pPr>
        <w:pStyle w:val="Heading3"/>
        <w:spacing w:before="240" w:after="120"/>
      </w:pPr>
      <w:r>
        <w:rPr>
          <w:rFonts w:ascii="Arial" w:cs="Arial" w:eastAsia="Arial" w:hAnsi="Arial"/>
          <w:b/>
          <w:bCs/>
          <w:color w:val="4A90D9"/>
          <w:sz w:val="26"/>
          <w:szCs w:val="26"/>
        </w:rPr>
        <w:t xml:space="preserve">Core Capabilities</w:t>
      </w:r>
    </w:p>
    <w:p>
      <w:pPr>
        <w:pStyle w:val="ListParagraph"/>
        <w:numPr>
          <w:ilvl w:val="0"/>
          <w:numId w:val="2"/>
        </w:numPr>
        <w:spacing w:before="40" w:after="40"/>
      </w:pPr>
      <w:r>
        <w:rPr>
          <w:rFonts w:ascii="Arial" w:cs="Arial" w:eastAsia="Arial" w:hAnsi="Arial"/>
          <w:color w:val="2D2D2D"/>
          <w:sz w:val="22"/>
          <w:szCs w:val="22"/>
        </w:rPr>
        <w:t xml:space="preserve">Environment provisioning and configuration through infrastructure-as-code execution and verification</w:t>
      </w:r>
    </w:p>
    <w:p>
      <w:pPr>
        <w:pStyle w:val="ListParagraph"/>
        <w:numPr>
          <w:ilvl w:val="0"/>
          <w:numId w:val="2"/>
        </w:numPr>
        <w:spacing w:before="40" w:after="40"/>
      </w:pPr>
      <w:r>
        <w:rPr>
          <w:rFonts w:ascii="Arial" w:cs="Arial" w:eastAsia="Arial" w:hAnsi="Arial"/>
          <w:color w:val="2D2D2D"/>
          <w:sz w:val="22"/>
          <w:szCs w:val="22"/>
        </w:rPr>
        <w:t xml:space="preserve">Progressive deployment strategy execution including canary releases, blue-green deployments, and feature flag management</w:t>
      </w:r>
    </w:p>
    <w:p>
      <w:pPr>
        <w:pStyle w:val="ListParagraph"/>
        <w:numPr>
          <w:ilvl w:val="0"/>
          <w:numId w:val="2"/>
        </w:numPr>
        <w:spacing w:before="40" w:after="40"/>
      </w:pPr>
      <w:r>
        <w:rPr>
          <w:rFonts w:ascii="Arial" w:cs="Arial" w:eastAsia="Arial" w:hAnsi="Arial"/>
          <w:color w:val="2D2D2D"/>
          <w:sz w:val="22"/>
          <w:szCs w:val="22"/>
        </w:rPr>
        <w:t xml:space="preserve">Pre-deployment validation including smoke tests, configuration verification, and dependency compatibility checks</w:t>
      </w:r>
    </w:p>
    <w:p>
      <w:pPr>
        <w:pStyle w:val="ListParagraph"/>
        <w:numPr>
          <w:ilvl w:val="0"/>
          <w:numId w:val="2"/>
        </w:numPr>
        <w:spacing w:before="40" w:after="40"/>
      </w:pPr>
      <w:r>
        <w:rPr>
          <w:rFonts w:ascii="Arial" w:cs="Arial" w:eastAsia="Arial" w:hAnsi="Arial"/>
          <w:color w:val="2D2D2D"/>
          <w:sz w:val="22"/>
          <w:szCs w:val="22"/>
        </w:rPr>
        <w:t xml:space="preserve">Automated rollback orchestration when deployment health checks fail or performance degradation is detected</w:t>
      </w:r>
    </w:p>
    <w:p>
      <w:pPr>
        <w:pStyle w:val="ListParagraph"/>
        <w:numPr>
          <w:ilvl w:val="0"/>
          <w:numId w:val="2"/>
        </w:numPr>
        <w:spacing w:before="40" w:after="40"/>
      </w:pPr>
      <w:r>
        <w:rPr>
          <w:rFonts w:ascii="Arial" w:cs="Arial" w:eastAsia="Arial" w:hAnsi="Arial"/>
          <w:color w:val="2D2D2D"/>
          <w:sz w:val="22"/>
          <w:szCs w:val="22"/>
        </w:rPr>
        <w:t xml:space="preserve">Release coordination across dependent services and systems to maintain compatibility</w:t>
      </w:r>
    </w:p>
    <w:p>
      <w:pPr>
        <w:pStyle w:val="ListParagraph"/>
        <w:numPr>
          <w:ilvl w:val="0"/>
          <w:numId w:val="2"/>
        </w:numPr>
        <w:spacing w:before="40" w:after="40"/>
      </w:pPr>
      <w:r>
        <w:rPr>
          <w:rFonts w:ascii="Arial" w:cs="Arial" w:eastAsia="Arial" w:hAnsi="Arial"/>
          <w:color w:val="2D2D2D"/>
          <w:sz w:val="22"/>
          <w:szCs w:val="22"/>
        </w:rPr>
        <w:t xml:space="preserve">Post-deployment verification including health checks, performance baseline comparison, and functional smoke testing</w:t>
      </w:r>
    </w:p>
    <w:p>
      <w:pPr>
        <w:pStyle w:val="ListParagraph"/>
        <w:numPr>
          <w:ilvl w:val="0"/>
          <w:numId w:val="2"/>
        </w:numPr>
        <w:spacing w:before="40" w:after="40"/>
      </w:pPr>
      <w:r>
        <w:rPr>
          <w:rFonts w:ascii="Arial" w:cs="Arial" w:eastAsia="Arial" w:hAnsi="Arial"/>
          <w:color w:val="2D2D2D"/>
          <w:sz w:val="22"/>
          <w:szCs w:val="22"/>
        </w:rPr>
        <w:t xml:space="preserve">Deployment audit trail generation documenting all deployment activities, approvals, and outcomes</w:t>
      </w:r>
    </w:p>
    <w:p>
      <w:pPr>
        <w:pStyle w:val="ListParagraph"/>
        <w:numPr>
          <w:ilvl w:val="0"/>
          <w:numId w:val="2"/>
        </w:numPr>
        <w:spacing w:before="40" w:after="40"/>
      </w:pPr>
      <w:r>
        <w:rPr>
          <w:rFonts w:ascii="Arial" w:cs="Arial" w:eastAsia="Arial" w:hAnsi="Arial"/>
          <w:color w:val="2D2D2D"/>
          <w:sz w:val="22"/>
          <w:szCs w:val="22"/>
        </w:rPr>
        <w:t xml:space="preserve">Change management integration ensuring that all deployments are associated with approved change records</w:t>
      </w:r>
    </w:p>
    <w:p>
      <w:pPr>
        <w:pStyle w:val="Heading2"/>
        <w:spacing w:before="300" w:after="160"/>
      </w:pPr>
      <w:r>
        <w:rPr>
          <w:rFonts w:ascii="Arial" w:cs="Arial" w:eastAsia="Arial" w:hAnsi="Arial"/>
          <w:b/>
          <w:bCs/>
          <w:color w:val="2E75B6"/>
          <w:sz w:val="30"/>
          <w:szCs w:val="30"/>
        </w:rPr>
        <w:t xml:space="preserve">3.3.9 Observability and Monitoring Agent</w:t>
      </w:r>
    </w:p>
    <w:p>
      <w:pPr>
        <w:spacing w:before="60" w:after="60"/>
        <w:jc w:val="left"/>
      </w:pPr>
      <w:r>
        <w:rPr>
          <w:rFonts w:ascii="Arial" w:cs="Arial" w:eastAsia="Arial" w:hAnsi="Arial"/>
          <w:b w:val="false"/>
          <w:bCs w:val="false"/>
          <w:i w:val="false"/>
          <w:iCs w:val="false"/>
          <w:color w:val="2D2D2D"/>
          <w:sz w:val="22"/>
          <w:szCs w:val="22"/>
        </w:rPr>
        <w:t xml:space="preserve">The Observability and Monitoring Agent is responsible for establishing, maintaining, and continuously optimizing the monitoring and observability infrastructure for deployed applications. Critically, this agent bridges the gap between TPRM evaluation requirements and development-side telemetry implementation, ensuring that the observability standards identified during third-party risk assessment are implemented as native capabilities within the developed or onboarded software.</w:t>
      </w:r>
    </w:p>
    <w:p>
      <w:pPr>
        <w:pStyle w:val="Heading3"/>
        <w:spacing w:before="240" w:after="120"/>
      </w:pPr>
      <w:r>
        <w:rPr>
          <w:rFonts w:ascii="Arial" w:cs="Arial" w:eastAsia="Arial" w:hAnsi="Arial"/>
          <w:b/>
          <w:bCs/>
          <w:color w:val="4A90D9"/>
          <w:sz w:val="26"/>
          <w:szCs w:val="26"/>
        </w:rPr>
        <w:t xml:space="preserve">Core Capabilities</w:t>
      </w:r>
    </w:p>
    <w:p>
      <w:pPr>
        <w:pStyle w:val="ListParagraph"/>
        <w:numPr>
          <w:ilvl w:val="0"/>
          <w:numId w:val="2"/>
        </w:numPr>
        <w:spacing w:before="40" w:after="40"/>
      </w:pPr>
      <w:r>
        <w:rPr>
          <w:rFonts w:ascii="Arial" w:cs="Arial" w:eastAsia="Arial" w:hAnsi="Arial"/>
          <w:color w:val="2D2D2D"/>
          <w:sz w:val="22"/>
          <w:szCs w:val="22"/>
        </w:rPr>
        <w:t xml:space="preserve">Automated instrumentation injection for distributed tracing, metrics collection, and structured logging</w:t>
      </w:r>
    </w:p>
    <w:p>
      <w:pPr>
        <w:pStyle w:val="ListParagraph"/>
        <w:numPr>
          <w:ilvl w:val="0"/>
          <w:numId w:val="2"/>
        </w:numPr>
        <w:spacing w:before="40" w:after="40"/>
      </w:pPr>
      <w:r>
        <w:rPr>
          <w:rFonts w:ascii="Arial" w:cs="Arial" w:eastAsia="Arial" w:hAnsi="Arial"/>
          <w:color w:val="2D2D2D"/>
          <w:sz w:val="22"/>
          <w:szCs w:val="22"/>
        </w:rPr>
        <w:t xml:space="preserve">Custom dashboard generation based on service-level objectives, business KPIs, and operational health indicators</w:t>
      </w:r>
    </w:p>
    <w:p>
      <w:pPr>
        <w:pStyle w:val="ListParagraph"/>
        <w:numPr>
          <w:ilvl w:val="0"/>
          <w:numId w:val="2"/>
        </w:numPr>
        <w:spacing w:before="40" w:after="40"/>
      </w:pPr>
      <w:r>
        <w:rPr>
          <w:rFonts w:ascii="Arial" w:cs="Arial" w:eastAsia="Arial" w:hAnsi="Arial"/>
          <w:color w:val="2D2D2D"/>
          <w:sz w:val="22"/>
          <w:szCs w:val="22"/>
        </w:rPr>
        <w:t xml:space="preserve">Anomaly detection model deployment and tuning for proactive identification of performance degradation, error rate increases, and unusual behavioral patterns</w:t>
      </w:r>
    </w:p>
    <w:p>
      <w:pPr>
        <w:pStyle w:val="ListParagraph"/>
        <w:numPr>
          <w:ilvl w:val="0"/>
          <w:numId w:val="2"/>
        </w:numPr>
        <w:spacing w:before="40" w:after="40"/>
      </w:pPr>
      <w:r>
        <w:rPr>
          <w:rFonts w:ascii="Arial" w:cs="Arial" w:eastAsia="Arial" w:hAnsi="Arial"/>
          <w:color w:val="2D2D2D"/>
          <w:sz w:val="22"/>
          <w:szCs w:val="22"/>
        </w:rPr>
        <w:t xml:space="preserve">Alert rule generation and optimization based on historical incident patterns and service criticality</w:t>
      </w:r>
    </w:p>
    <w:p>
      <w:pPr>
        <w:pStyle w:val="ListParagraph"/>
        <w:numPr>
          <w:ilvl w:val="0"/>
          <w:numId w:val="2"/>
        </w:numPr>
        <w:spacing w:before="40" w:after="40"/>
      </w:pPr>
      <w:r>
        <w:rPr>
          <w:rFonts w:ascii="Arial" w:cs="Arial" w:eastAsia="Arial" w:hAnsi="Arial"/>
          <w:color w:val="2D2D2D"/>
          <w:sz w:val="22"/>
          <w:szCs w:val="22"/>
        </w:rPr>
        <w:t xml:space="preserve">TPRM observability requirement implementation ensuring that telemetry collected from third-party integrations meets the monitoring standards established during vendor evaluation</w:t>
      </w:r>
    </w:p>
    <w:p>
      <w:pPr>
        <w:pStyle w:val="ListParagraph"/>
        <w:numPr>
          <w:ilvl w:val="0"/>
          <w:numId w:val="2"/>
        </w:numPr>
        <w:spacing w:before="40" w:after="40"/>
      </w:pPr>
      <w:r>
        <w:rPr>
          <w:rFonts w:ascii="Arial" w:cs="Arial" w:eastAsia="Arial" w:hAnsi="Arial"/>
          <w:color w:val="2D2D2D"/>
          <w:sz w:val="22"/>
          <w:szCs w:val="22"/>
        </w:rPr>
        <w:t xml:space="preserve">Capacity planning and forecasting based on usage trends and projected growth</w:t>
      </w:r>
    </w:p>
    <w:p>
      <w:pPr>
        <w:pStyle w:val="ListParagraph"/>
        <w:numPr>
          <w:ilvl w:val="0"/>
          <w:numId w:val="2"/>
        </w:numPr>
        <w:spacing w:before="40" w:after="40"/>
      </w:pPr>
      <w:r>
        <w:rPr>
          <w:rFonts w:ascii="Arial" w:cs="Arial" w:eastAsia="Arial" w:hAnsi="Arial"/>
          <w:color w:val="2D2D2D"/>
          <w:sz w:val="22"/>
          <w:szCs w:val="22"/>
        </w:rPr>
        <w:t xml:space="preserve">Incident correlation and root cause analysis support through log aggregation, trace analysis, and metric correlation</w:t>
      </w:r>
    </w:p>
    <w:p>
      <w:pPr>
        <w:pStyle w:val="ListParagraph"/>
        <w:numPr>
          <w:ilvl w:val="0"/>
          <w:numId w:val="2"/>
        </w:numPr>
        <w:spacing w:before="40" w:after="40"/>
      </w:pPr>
      <w:r>
        <w:rPr>
          <w:rFonts w:ascii="Arial" w:cs="Arial" w:eastAsia="Arial" w:hAnsi="Arial"/>
          <w:color w:val="2D2D2D"/>
          <w:sz w:val="22"/>
          <w:szCs w:val="22"/>
        </w:rPr>
        <w:t xml:space="preserve">Observability cost optimization through intelligent sampling, log level management, and retention policy tuning</w:t>
      </w:r>
    </w:p>
    <w:p>
      <w:pPr>
        <w:spacing w:before="120" w:after="120"/>
      </w:pPr>
    </w:p>
    <w:p>
      <w:pPr>
        <w:spacing w:before="60" w:after="60"/>
        <w:jc w:val="left"/>
      </w:pPr>
      <w:r>
        <w:rPr>
          <w:rFonts w:ascii="Arial" w:cs="Arial" w:eastAsia="Arial" w:hAnsi="Arial"/>
          <w:b/>
          <w:bCs/>
          <w:i w:val="false"/>
          <w:iCs w:val="false"/>
          <w:color w:val="1B3A5C"/>
          <w:sz w:val="24"/>
          <w:szCs w:val="24"/>
        </w:rPr>
        <w:t xml:space="preserve">Core Agent Capability Matrix</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c>
          <w:tcPr>
            <w:tcW w:type="dxa" w:w="1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w:t>
            </w:r>
          </w:p>
        </w:tc>
        <w:tc>
          <w:tcPr>
            <w:tcW w:type="dxa" w:w="24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Capabilities</w:t>
            </w:r>
          </w:p>
        </w:tc>
        <w:tc>
          <w:tcPr>
            <w:tcW w:type="dxa" w:w="27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SDLC Phases</w:t>
            </w:r>
          </w:p>
        </w:tc>
        <w:tc>
          <w:tcPr>
            <w:tcW w:type="dxa" w:w="246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Tier Coverage</w:t>
            </w:r>
          </w:p>
        </w:tc>
      </w:tr>
      <w:tr>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Requirements Analysis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Requirements engineering, traceability</w:t>
            </w:r>
          </w:p>
        </w:tc>
        <w:tc>
          <w:tcPr>
            <w:tcW w:type="dxa" w:w="27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Planning, Design</w:t>
            </w:r>
          </w:p>
        </w:tc>
        <w:tc>
          <w:tcPr>
            <w:tcW w:type="dxa" w:w="24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Low–Critical</w:t>
            </w:r>
          </w:p>
        </w:tc>
      </w:tr>
      <w:tr>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Architecture Design</w:t>
            </w:r>
          </w:p>
        </w:tc>
        <w:tc>
          <w:tcPr>
            <w:tcW w:type="dxa" w:w="24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System architecture, pattern selection</w:t>
            </w:r>
          </w:p>
        </w:tc>
        <w:tc>
          <w:tcPr>
            <w:tcW w:type="dxa" w:w="27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Design</w:t>
            </w:r>
          </w:p>
        </w:tc>
        <w:tc>
          <w:tcPr>
            <w:tcW w:type="dxa" w:w="24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Low–Critical</w:t>
            </w:r>
          </w:p>
        </w:tc>
      </w:tr>
      <w:tr>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Code Generation</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Source code production</w:t>
            </w:r>
          </w:p>
        </w:tc>
        <w:tc>
          <w:tcPr>
            <w:tcW w:type="dxa" w:w="27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Development</w:t>
            </w:r>
          </w:p>
        </w:tc>
        <w:tc>
          <w:tcPr>
            <w:tcW w:type="dxa" w:w="24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Low–Critical</w:t>
            </w:r>
          </w:p>
        </w:tc>
      </w:tr>
      <w:tr>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Code Review &amp; Quality</w:t>
            </w:r>
          </w:p>
        </w:tc>
        <w:tc>
          <w:tcPr>
            <w:tcW w:type="dxa" w:w="24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Quality assurance, vulnerability detection</w:t>
            </w:r>
          </w:p>
        </w:tc>
        <w:tc>
          <w:tcPr>
            <w:tcW w:type="dxa" w:w="27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Development, Testing</w:t>
            </w:r>
          </w:p>
        </w:tc>
        <w:tc>
          <w:tcPr>
            <w:tcW w:type="dxa" w:w="24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Low–Critical</w:t>
            </w:r>
          </w:p>
        </w:tc>
      </w:tr>
      <w:tr>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Testing &amp; Validation</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Test generation, execution, analysis</w:t>
            </w:r>
          </w:p>
        </w:tc>
        <w:tc>
          <w:tcPr>
            <w:tcW w:type="dxa" w:w="27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Testing</w:t>
            </w:r>
          </w:p>
        </w:tc>
        <w:tc>
          <w:tcPr>
            <w:tcW w:type="dxa" w:w="24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Low–Critical</w:t>
            </w:r>
          </w:p>
        </w:tc>
      </w:tr>
      <w:tr>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Security &amp; Compliance</w:t>
            </w:r>
          </w:p>
        </w:tc>
        <w:tc>
          <w:tcPr>
            <w:tcW w:type="dxa" w:w="24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Cross-cutting security, compliance validation</w:t>
            </w:r>
          </w:p>
        </w:tc>
        <w:tc>
          <w:tcPr>
            <w:tcW w:type="dxa" w:w="27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All Phases</w:t>
            </w:r>
          </w:p>
        </w:tc>
        <w:tc>
          <w:tcPr>
            <w:tcW w:type="dxa" w:w="24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Moderate–Critical</w:t>
            </w:r>
          </w:p>
        </w:tc>
      </w:tr>
      <w:tr>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Documentation</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All documentation artifacts</w:t>
            </w:r>
          </w:p>
        </w:tc>
        <w:tc>
          <w:tcPr>
            <w:tcW w:type="dxa" w:w="27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All Phases</w:t>
            </w:r>
          </w:p>
        </w:tc>
        <w:tc>
          <w:tcPr>
            <w:tcW w:type="dxa" w:w="24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Low–Critical</w:t>
            </w:r>
          </w:p>
        </w:tc>
      </w:tr>
      <w:tr>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Deployment &amp; Release</w:t>
            </w:r>
          </w:p>
        </w:tc>
        <w:tc>
          <w:tcPr>
            <w:tcW w:type="dxa" w:w="24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CI/CD orchestration, environment management</w:t>
            </w:r>
          </w:p>
        </w:tc>
        <w:tc>
          <w:tcPr>
            <w:tcW w:type="dxa" w:w="27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Deployment</w:t>
            </w:r>
          </w:p>
        </w:tc>
        <w:tc>
          <w:tcPr>
            <w:tcW w:type="dxa" w:w="24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Low–Critical</w:t>
            </w:r>
          </w:p>
        </w:tc>
      </w:tr>
      <w:tr>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Observability &amp; Monitoring</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Telemetry, alerting, TPRM bridge</w:t>
            </w:r>
          </w:p>
        </w:tc>
        <w:tc>
          <w:tcPr>
            <w:tcW w:type="dxa" w:w="27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Operations</w:t>
            </w:r>
          </w:p>
        </w:tc>
        <w:tc>
          <w:tcPr>
            <w:tcW w:type="dxa" w:w="24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Low–Critical</w:t>
            </w:r>
          </w:p>
        </w:tc>
      </w:tr>
    </w:tbl>
    <w:p>
      <w:r>
        <w:br w:type="page"/>
      </w:r>
    </w:p>
    <w:p>
      <w:pPr>
        <w:pStyle w:val="Heading1"/>
        <w:spacing w:before="360" w:after="200"/>
      </w:pPr>
      <w:r>
        <w:rPr>
          <w:rFonts w:ascii="Arial" w:cs="Arial" w:eastAsia="Arial" w:hAnsi="Arial"/>
          <w:b/>
          <w:bCs/>
          <w:color w:val="1B3A5C"/>
          <w:sz w:val="36"/>
          <w:szCs w:val="36"/>
        </w:rPr>
        <w:t xml:space="preserve">3.4 Agentic Sprint Lifecycle</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 Agentic Sprint Lifecycle redefines the traditional agile sprint model by embedding intelligent agents at every stage of sprint planning, execution, and review. This model preserves the core agile principles of iterative delivery, continuous feedback, and adaptive planning while dramatically accelerating throughput and improving consistency through AI-driven automation. The sprint lifecycle described here operates within the broader lifecycle governance framework defined in Section 1, applying its automation capabilities within the phase gates and approval requirements established by the initiative’s risk classification.</w:t>
      </w:r>
    </w:p>
    <w:p>
      <w:pPr>
        <w:pStyle w:val="Heading2"/>
        <w:spacing w:before="300" w:after="160"/>
      </w:pPr>
      <w:r>
        <w:rPr>
          <w:rFonts w:ascii="Arial" w:cs="Arial" w:eastAsia="Arial" w:hAnsi="Arial"/>
          <w:b/>
          <w:bCs/>
          <w:color w:val="2E75B6"/>
          <w:sz w:val="30"/>
          <w:szCs w:val="30"/>
        </w:rPr>
        <w:t xml:space="preserve">3.4.1 Sprint Planning Automation</w:t>
      </w:r>
    </w:p>
    <w:p>
      <w:pPr>
        <w:spacing w:before="60" w:after="60"/>
        <w:jc w:val="left"/>
      </w:pPr>
      <w:r>
        <w:rPr>
          <w:rFonts w:ascii="Arial" w:cs="Arial" w:eastAsia="Arial" w:hAnsi="Arial"/>
          <w:b w:val="false"/>
          <w:bCs w:val="false"/>
          <w:i w:val="false"/>
          <w:iCs w:val="false"/>
          <w:color w:val="2D2D2D"/>
          <w:sz w:val="22"/>
          <w:szCs w:val="22"/>
        </w:rPr>
        <w:t xml:space="preserve">Sprint planning in the agentic model is a collaborative process between the Requirements Analysis Agent, the Master Orchestrator, and the human product owner. The agent analyzes the prioritized backlog, evaluates team capacity and agent availability, considers technical dependencies and risk factors, and proposes an optimized sprint plan that balances feature delivery with technical debt reduction and compliance requirements.</w:t>
      </w:r>
    </w:p>
    <w:p>
      <w:pPr>
        <w:spacing w:before="60" w:after="60"/>
        <w:jc w:val="left"/>
      </w:pPr>
      <w:r>
        <w:rPr>
          <w:rFonts w:ascii="Arial" w:cs="Arial" w:eastAsia="Arial" w:hAnsi="Arial"/>
          <w:b w:val="false"/>
          <w:bCs w:val="false"/>
          <w:i w:val="false"/>
          <w:iCs w:val="false"/>
          <w:color w:val="2D2D2D"/>
          <w:sz w:val="22"/>
          <w:szCs w:val="22"/>
        </w:rPr>
        <w:t xml:space="preserve">The automated sprint planning process proceeds through several stages. The Requirements Analysis Agent retrieves the current prioritized backlog and applies dependency analysis to identify optimal groupings of work items. It then consults the Architecture Design Agent for technical complexity assessment and the Security and Compliance Agent for compliance impact evaluation. Based on this analysis, it generates a proposed sprint backlog with estimated effort, risk assessment, and compliance burden for each item. The human product owner reviews the proposed plan, making adjustments based on business priorities and stakeholder commitments. The approved plan is then decomposed into agent-executable task sequences by the Phase Orchestrator.</w:t>
      </w:r>
    </w:p>
    <w:p>
      <w:pPr>
        <w:pStyle w:val="Heading2"/>
        <w:spacing w:before="300" w:after="160"/>
      </w:pPr>
      <w:r>
        <w:rPr>
          <w:rFonts w:ascii="Arial" w:cs="Arial" w:eastAsia="Arial" w:hAnsi="Arial"/>
          <w:b/>
          <w:bCs/>
          <w:color w:val="2E75B6"/>
          <w:sz w:val="30"/>
          <w:szCs w:val="30"/>
        </w:rPr>
        <w:t xml:space="preserve">3.4.2 Backlog Refinement and Estimation</w:t>
      </w:r>
    </w:p>
    <w:p>
      <w:pPr>
        <w:spacing w:before="60" w:after="60"/>
        <w:jc w:val="left"/>
      </w:pPr>
      <w:r>
        <w:rPr>
          <w:rFonts w:ascii="Arial" w:cs="Arial" w:eastAsia="Arial" w:hAnsi="Arial"/>
          <w:b w:val="false"/>
          <w:bCs w:val="false"/>
          <w:i w:val="false"/>
          <w:iCs w:val="false"/>
          <w:color w:val="2D2D2D"/>
          <w:sz w:val="22"/>
          <w:szCs w:val="22"/>
        </w:rPr>
        <w:t xml:space="preserve">Continuous backlog refinement is performed by the Requirements Analysis Agent in collaboration with the Architecture Design Agent and the Security and Compliance Agent. This ongoing process ensures that backlog items are maintained at a level of definition sufficient for sprint planning and agent execution. The refinement process includes decomposition of large features into implementable user stories, estimation using historical data from comparable completed work items, identification of compliance requirements that will apply to each work item, dependency mapping across work items and external systems, and risk assessment that flags items requiring additional human attention.</w:t>
      </w:r>
    </w:p>
    <w:p>
      <w:pPr>
        <w:spacing w:before="60" w:after="60"/>
        <w:jc w:val="left"/>
      </w:pPr>
      <w:r>
        <w:rPr>
          <w:rFonts w:ascii="Arial" w:cs="Arial" w:eastAsia="Arial" w:hAnsi="Arial"/>
          <w:b w:val="false"/>
          <w:bCs w:val="false"/>
          <w:i w:val="false"/>
          <w:iCs w:val="false"/>
          <w:color w:val="2D2D2D"/>
          <w:sz w:val="22"/>
          <w:szCs w:val="22"/>
        </w:rPr>
        <w:t xml:space="preserve">Estimation accuracy improves continuously as the system accumulates historical data on actual effort versus estimated effort across different work item types, complexity levels, and agent configurations. The estimation model is updated after each sprint to incorporate the latest empirical data.</w:t>
      </w:r>
    </w:p>
    <w:p>
      <w:pPr>
        <w:pStyle w:val="Heading2"/>
        <w:spacing w:before="300" w:after="160"/>
      </w:pPr>
      <w:r>
        <w:rPr>
          <w:rFonts w:ascii="Arial" w:cs="Arial" w:eastAsia="Arial" w:hAnsi="Arial"/>
          <w:b/>
          <w:bCs/>
          <w:color w:val="2E75B6"/>
          <w:sz w:val="30"/>
          <w:szCs w:val="30"/>
        </w:rPr>
        <w:t xml:space="preserve">3.4.3 In-Sprint Execution Flow</w:t>
      </w:r>
    </w:p>
    <w:p>
      <w:pPr>
        <w:spacing w:before="60" w:after="60"/>
        <w:jc w:val="left"/>
      </w:pPr>
      <w:r>
        <w:rPr>
          <w:rFonts w:ascii="Arial" w:cs="Arial" w:eastAsia="Arial" w:hAnsi="Arial"/>
          <w:b w:val="false"/>
          <w:bCs w:val="false"/>
          <w:i w:val="false"/>
          <w:iCs w:val="false"/>
          <w:color w:val="2D2D2D"/>
          <w:sz w:val="22"/>
          <w:szCs w:val="22"/>
        </w:rPr>
        <w:t xml:space="preserve">During sprint execution, the Phase Orchestrator coordinates agent activities according to the approved sprint plan, managing task dependencies and monitoring progress against sprint commitments. The in-sprint execution flow follows a defined sequence for each work item.</w:t>
      </w:r>
    </w:p>
    <w:p>
      <w:pPr>
        <w:spacing w:before="60" w:after="60"/>
        <w:jc w:val="left"/>
      </w:pPr>
      <w:r>
        <w:rPr>
          <w:rFonts w:ascii="Arial" w:cs="Arial" w:eastAsia="Arial" w:hAnsi="Arial"/>
          <w:b w:val="false"/>
          <w:bCs w:val="false"/>
          <w:i w:val="false"/>
          <w:iCs w:val="false"/>
          <w:color w:val="2D2D2D"/>
          <w:sz w:val="22"/>
          <w:szCs w:val="22"/>
        </w:rPr>
        <w:t xml:space="preserve">The Architecture Design Agent generates or updates the technical design for the work item, incorporating any relevant architectural decisions and patterns. The Code Generation Agent produces the implementation code within the compliance envelope, adhering to the architectural specification and coding standards. The Code Review and Quality Agent evaluates the generated code against quality standards, security requirements, and compliance criteria. Any issues identified are returned to the Code Generation Agent for remediation, creating an iterative refinement loop. The Testing and Validation Agent generates and executes the test suite, validating functional correctness, performance characteristics, and security properties. The Documentation Agent generates or updates all relevant documentation artifacts. Throughout this process, the Security and Compliance Agent performs continuous validation, and the Observability and Monitoring Agent ensures appropriate telemetry instrumentation is in place.</w:t>
      </w:r>
    </w:p>
    <w:p>
      <w:pPr>
        <w:spacing w:before="60" w:after="60"/>
        <w:jc w:val="left"/>
      </w:pPr>
      <w:r>
        <w:rPr>
          <w:rFonts w:ascii="Arial" w:cs="Arial" w:eastAsia="Arial" w:hAnsi="Arial"/>
          <w:b w:val="false"/>
          <w:bCs w:val="false"/>
          <w:i w:val="false"/>
          <w:iCs w:val="false"/>
          <w:color w:val="2D2D2D"/>
          <w:sz w:val="22"/>
          <w:szCs w:val="22"/>
        </w:rPr>
        <w:t xml:space="preserve">This execution flow operates as a pipeline with feedback loops, where downstream agents can request revisions from upstream agents when issues are identified. The Phase Orchestrator monitors the overall flow and intervenes when iterations exceed defined thresholds, escalating to human review when agent-to-agent resolution is insufficient.</w:t>
      </w:r>
    </w:p>
    <w:p>
      <w:pPr>
        <w:pStyle w:val="Heading2"/>
        <w:spacing w:before="300" w:after="160"/>
      </w:pPr>
      <w:r>
        <w:rPr>
          <w:rFonts w:ascii="Arial" w:cs="Arial" w:eastAsia="Arial" w:hAnsi="Arial"/>
          <w:b/>
          <w:bCs/>
          <w:color w:val="2E75B6"/>
          <w:sz w:val="30"/>
          <w:szCs w:val="30"/>
        </w:rPr>
        <w:t xml:space="preserve">3.4.4 Sprint Review and Retrospective Automation</w:t>
      </w:r>
    </w:p>
    <w:p>
      <w:pPr>
        <w:spacing w:before="60" w:after="60"/>
        <w:jc w:val="left"/>
      </w:pPr>
      <w:r>
        <w:rPr>
          <w:rFonts w:ascii="Arial" w:cs="Arial" w:eastAsia="Arial" w:hAnsi="Arial"/>
          <w:b w:val="false"/>
          <w:bCs w:val="false"/>
          <w:i w:val="false"/>
          <w:iCs w:val="false"/>
          <w:color w:val="2D2D2D"/>
          <w:sz w:val="22"/>
          <w:szCs w:val="22"/>
        </w:rPr>
        <w:t xml:space="preserve">At sprint completion, the system generates a comprehensive sprint review package that includes completed work items with traceability to requirements and acceptance criteria, test coverage and quality metrics, compliance validation status for all completed items, agent performance metrics including generation accuracy, review effectiveness, and test detection rates, cycle time analysis comparing planned versus actual execution times, and identification of items that were not completed with root cause analysis.</w:t>
      </w:r>
    </w:p>
    <w:p>
      <w:pPr>
        <w:spacing w:before="60" w:after="60"/>
        <w:jc w:val="left"/>
      </w:pPr>
      <w:r>
        <w:rPr>
          <w:rFonts w:ascii="Arial" w:cs="Arial" w:eastAsia="Arial" w:hAnsi="Arial"/>
          <w:b w:val="false"/>
          <w:bCs w:val="false"/>
          <w:i w:val="false"/>
          <w:iCs w:val="false"/>
          <w:color w:val="2D2D2D"/>
          <w:sz w:val="22"/>
          <w:szCs w:val="22"/>
        </w:rPr>
        <w:t xml:space="preserve">The retrospective analysis is performed by the Master Orchestrator, which analyzes sprint execution data to identify process improvement opportunities. This analysis covers agent efficiency patterns, identifying agents that consistently exceeded or fell below performance targets. It examines workflow bottlenecks where tasks queued for extended periods due to capacity constraints or dependency waits. It evaluates compliance overhead assessing the time impact of compliance validation activities and identifying opportunities for optimization. It reviews estimation accuracy comparing planned effort to actual effort to refine future estimation models. These insights are synthesized into actionable improvement recommendations that are presented to the engineering leadership team and used to refine agent configurations and workflow definitions for subsequent sprints.</w:t>
      </w:r>
    </w:p>
    <w:p>
      <w:pPr>
        <w:pStyle w:val="Heading2"/>
        <w:spacing w:before="300" w:after="160"/>
      </w:pPr>
      <w:r>
        <w:rPr>
          <w:rFonts w:ascii="Arial" w:cs="Arial" w:eastAsia="Arial" w:hAnsi="Arial"/>
          <w:b/>
          <w:bCs/>
          <w:color w:val="2E75B6"/>
          <w:sz w:val="30"/>
          <w:szCs w:val="30"/>
        </w:rPr>
        <w:t xml:space="preserve">3.4.5 Cross-Sprint Learning and Adaptation</w:t>
      </w:r>
    </w:p>
    <w:p>
      <w:pPr>
        <w:spacing w:before="60" w:after="60"/>
        <w:jc w:val="left"/>
      </w:pPr>
      <w:r>
        <w:rPr>
          <w:rFonts w:ascii="Arial" w:cs="Arial" w:eastAsia="Arial" w:hAnsi="Arial"/>
          <w:b w:val="false"/>
          <w:bCs w:val="false"/>
          <w:i w:val="false"/>
          <w:iCs w:val="false"/>
          <w:color w:val="2D2D2D"/>
          <w:sz w:val="22"/>
          <w:szCs w:val="22"/>
        </w:rPr>
        <w:t xml:space="preserve">The agentic system maintains a sprint-over-sprint learning capability that enables continuous improvement of both agent performance and workflow efficiency. After each sprint, the following adaptation activities occur. Agent prompt and configuration refinement based on output quality analysis. Workflow sequence optimization based on observed dependency patterns and bottleneck analysis. Estimation model recalibration using actual effort data from completed work items. Compliance validation rule updates based on new regulatory guidance or policy changes. Test strategy refinement based on defect patterns and test effectiveness metrics.</w:t>
      </w:r>
    </w:p>
    <w:p>
      <w:pPr>
        <w:spacing w:before="60" w:after="60"/>
        <w:jc w:val="left"/>
      </w:pPr>
      <w:r>
        <w:rPr>
          <w:rFonts w:ascii="Arial" w:cs="Arial" w:eastAsia="Arial" w:hAnsi="Arial"/>
          <w:b w:val="false"/>
          <w:bCs w:val="false"/>
          <w:i w:val="false"/>
          <w:iCs w:val="false"/>
          <w:color w:val="2D2D2D"/>
          <w:sz w:val="22"/>
          <w:szCs w:val="22"/>
        </w:rPr>
        <w:t xml:space="preserve">This continuous adaptation ensures that the agentic system becomes progressively more effective over time, with each sprint providing empirical data that drives measurable improvement in subsequent sprints. The learning is captured in the system’s knowledge base and is available to all agent instances, enabling organization-wide improvement rather than team-specific optimization.</w:t>
      </w:r>
    </w:p>
    <w:p>
      <w:r>
        <w:br w:type="page"/>
      </w:r>
    </w:p>
    <w:p>
      <w:pPr>
        <w:pStyle w:val="Heading1"/>
        <w:spacing w:before="360" w:after="200"/>
      </w:pPr>
      <w:r>
        <w:rPr>
          <w:rFonts w:ascii="Arial" w:cs="Arial" w:eastAsia="Arial" w:hAnsi="Arial"/>
          <w:b/>
          <w:bCs/>
          <w:color w:val="1B3A5C"/>
          <w:sz w:val="36"/>
          <w:szCs w:val="36"/>
        </w:rPr>
        <w:t xml:space="preserve">3.5 Compliance-Driven Development Integration</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Compliance-Driven Development is the architectural principle that regulatory compliance, organizational policy adherence, and AI governance requirements are not treated as separate verification activities but are instead embedded directly into the generative processes of the development lifecycle. This section defines the technical mechanisms through which compliance requirements are translated into actionable constraints, injected into agent operational contexts, and validated throughout the development pipeline.</w:t>
      </w:r>
    </w:p>
    <w:p>
      <w:pPr>
        <w:pStyle w:val="Heading2"/>
        <w:spacing w:before="300" w:after="160"/>
      </w:pPr>
      <w:r>
        <w:rPr>
          <w:rFonts w:ascii="Arial" w:cs="Arial" w:eastAsia="Arial" w:hAnsi="Arial"/>
          <w:b/>
          <w:bCs/>
          <w:color w:val="2E75B6"/>
          <w:sz w:val="30"/>
          <w:szCs w:val="30"/>
        </w:rPr>
        <w:t xml:space="preserve">3.5.1 Policy-as-Code Framework</w:t>
      </w:r>
    </w:p>
    <w:p>
      <w:pPr>
        <w:spacing w:before="60" w:after="60"/>
        <w:jc w:val="left"/>
      </w:pPr>
      <w:r>
        <w:rPr>
          <w:rFonts w:ascii="Arial" w:cs="Arial" w:eastAsia="Arial" w:hAnsi="Arial"/>
          <w:b w:val="false"/>
          <w:bCs w:val="false"/>
          <w:i w:val="false"/>
          <w:iCs w:val="false"/>
          <w:color w:val="2D2D2D"/>
          <w:sz w:val="22"/>
          <w:szCs w:val="22"/>
        </w:rPr>
        <w:t xml:space="preserve">The Policy-as-Code Framework transforms human-readable policy documents, regulatory requirements, and organizational standards into machine-executable policy definitions that agents can interpret and enforce. This framework is the translation layer between the governance domain and the technical execution domain, ensuring that compliance requirements are expressed with sufficient precision to be automatically validated.</w:t>
      </w:r>
    </w:p>
    <w:p>
      <w:pPr>
        <w:spacing w:before="60" w:after="60"/>
        <w:jc w:val="left"/>
      </w:pPr>
      <w:r>
        <w:rPr>
          <w:rFonts w:ascii="Arial" w:cs="Arial" w:eastAsia="Arial" w:hAnsi="Arial"/>
          <w:b w:val="false"/>
          <w:bCs w:val="false"/>
          <w:i w:val="false"/>
          <w:iCs w:val="false"/>
          <w:color w:val="2D2D2D"/>
          <w:sz w:val="22"/>
          <w:szCs w:val="22"/>
        </w:rPr>
        <w:t xml:space="preserve">The framework operates through a three-tier policy hierarchy. The regulatory tier contains machine-readable representations of applicable regulatory requirements, organized by jurisdiction, industry, and regulatory body. These policies are maintained by the compliance team and updated when regulatory changes occur. The organizational tier contains the organization’s internal policies, standards, and procedures, translated into executable form. These policies may add requirements beyond regulatory minimums or provide specific implementation guidance for regulatory requirements. The initiative tier contains policies specific to individual initiatives, including risk classification-specific requirements, project-specific constraints, and any conditional requirements triggered by the initiative’s characteristics.</w:t>
      </w:r>
    </w:p>
    <w:p>
      <w:pPr>
        <w:spacing w:before="60" w:after="60"/>
        <w:jc w:val="left"/>
      </w:pPr>
      <w:r>
        <w:rPr>
          <w:rFonts w:ascii="Arial" w:cs="Arial" w:eastAsia="Arial" w:hAnsi="Arial"/>
          <w:b w:val="false"/>
          <w:bCs w:val="false"/>
          <w:i w:val="false"/>
          <w:iCs w:val="false"/>
          <w:color w:val="2D2D2D"/>
          <w:sz w:val="22"/>
          <w:szCs w:val="22"/>
        </w:rPr>
        <w:t xml:space="preserve">Policy definitions follow a standardized schema that includes the policy identifier and version, the applicable scope defining the SDLC phases, artifact types, and risk classifications to which the policy applies, the validation rules expressed as executable conditions that can be evaluated against development artifacts, the evidence requirements specifying what documentation must be produced to demonstrate compliance, and the remediation guidance providing actionable instructions when violations are detected.</w:t>
      </w:r>
    </w:p>
    <w:p>
      <w:pPr>
        <w:pStyle w:val="Heading2"/>
        <w:spacing w:before="300" w:after="160"/>
      </w:pPr>
      <w:r>
        <w:rPr>
          <w:rFonts w:ascii="Arial" w:cs="Arial" w:eastAsia="Arial" w:hAnsi="Arial"/>
          <w:b/>
          <w:bCs/>
          <w:color w:val="2E75B6"/>
          <w:sz w:val="30"/>
          <w:szCs w:val="30"/>
        </w:rPr>
        <w:t xml:space="preserve">3.5.2 Regulatory Mapping Engine</w:t>
      </w:r>
    </w:p>
    <w:p>
      <w:pPr>
        <w:spacing w:before="60" w:after="60"/>
        <w:jc w:val="left"/>
      </w:pPr>
      <w:r>
        <w:rPr>
          <w:rFonts w:ascii="Arial" w:cs="Arial" w:eastAsia="Arial" w:hAnsi="Arial"/>
          <w:b w:val="false"/>
          <w:bCs w:val="false"/>
          <w:i w:val="false"/>
          <w:iCs w:val="false"/>
          <w:color w:val="2D2D2D"/>
          <w:sz w:val="22"/>
          <w:szCs w:val="22"/>
        </w:rPr>
        <w:t xml:space="preserve">The Regulatory Mapping Engine maintains the authoritative mapping between regulatory requirements and their technical implementation patterns. This engine is used by agents to determine the specific technical controls, coding patterns, and validation criteria that must be applied to satisfy each applicable regulatory requirement.</w:t>
      </w:r>
    </w:p>
    <w:p>
      <w:pPr>
        <w:spacing w:before="60" w:after="60"/>
        <w:jc w:val="left"/>
      </w:pPr>
      <w:r>
        <w:rPr>
          <w:rFonts w:ascii="Arial" w:cs="Arial" w:eastAsia="Arial" w:hAnsi="Arial"/>
          <w:b w:val="false"/>
          <w:bCs w:val="false"/>
          <w:i w:val="false"/>
          <w:iCs w:val="false"/>
          <w:color w:val="2D2D2D"/>
          <w:sz w:val="22"/>
          <w:szCs w:val="22"/>
        </w:rPr>
        <w:t xml:space="preserve">The mapping engine supports multi-framework mapping, allowing a single regulatory requirement to be traced to its implementation across multiple technical frameworks and standards. For example, a data encryption requirement from a privacy regulation is mapped to the specific encryption standards in the security framework, the data handling patterns in the coding standards, the test scenarios in the testing framework, and the monitoring requirements in the observability framework.</w:t>
      </w:r>
    </w:p>
    <w:p>
      <w:pPr>
        <w:spacing w:before="60" w:after="60"/>
        <w:jc w:val="left"/>
      </w:pPr>
      <w:r>
        <w:rPr>
          <w:rFonts w:ascii="Arial" w:cs="Arial" w:eastAsia="Arial" w:hAnsi="Arial"/>
          <w:b w:val="false"/>
          <w:bCs w:val="false"/>
          <w:i w:val="false"/>
          <w:iCs w:val="false"/>
          <w:color w:val="2D2D2D"/>
          <w:sz w:val="22"/>
          <w:szCs w:val="22"/>
        </w:rPr>
        <w:t xml:space="preserve">The engine is updated through a combination of automated regulatory change monitoring and manual expert review. When regulatory changes are detected, the engine identifies affected mappings and generates impact assessments that quantify the scope of change required across active and deployed initiatives.</w:t>
      </w:r>
    </w:p>
    <w:p>
      <w:pPr>
        <w:pStyle w:val="Heading2"/>
        <w:spacing w:before="300" w:after="160"/>
      </w:pPr>
      <w:r>
        <w:rPr>
          <w:rFonts w:ascii="Arial" w:cs="Arial" w:eastAsia="Arial" w:hAnsi="Arial"/>
          <w:b/>
          <w:bCs/>
          <w:color w:val="2E75B6"/>
          <w:sz w:val="30"/>
          <w:szCs w:val="30"/>
        </w:rPr>
        <w:t xml:space="preserve">3.5.3 Risk Classification-Based Automation Tiers</w:t>
      </w:r>
    </w:p>
    <w:p>
      <w:pPr>
        <w:spacing w:before="60" w:after="60"/>
        <w:jc w:val="left"/>
      </w:pPr>
      <w:r>
        <w:rPr>
          <w:rFonts w:ascii="Arial" w:cs="Arial" w:eastAsia="Arial" w:hAnsi="Arial"/>
          <w:b w:val="false"/>
          <w:bCs w:val="false"/>
          <w:i w:val="false"/>
          <w:iCs w:val="false"/>
          <w:color w:val="2D2D2D"/>
          <w:sz w:val="22"/>
          <w:szCs w:val="22"/>
        </w:rPr>
        <w:t xml:space="preserve">The degree of agentic automation applied to each initiative is governed by its risk classification, which is determined during the intake and assessment phase defined in Section 1. The architecture defines four automation tiers that correspond to the risk classification levels.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1800"/>
        <w:gridCol w:w="1760"/>
      </w:tblGrid>
      <w:tr>
        <w:tc>
          <w:tcPr>
            <w:tcW w:type="dxa" w:w="14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Tier</w:t>
            </w:r>
          </w:p>
        </w:tc>
        <w:tc>
          <w:tcPr>
            <w:tcW w:type="dxa" w:w="20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Automation Level</w:t>
            </w:r>
          </w:p>
        </w:tc>
        <w:tc>
          <w:tcPr>
            <w:tcW w:type="dxa" w:w="24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 Authority</w:t>
            </w:r>
          </w:p>
        </w:tc>
        <w:tc>
          <w:tcPr>
            <w:tcW w:type="dxa" w:w="1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Human Review</w:t>
            </w:r>
          </w:p>
        </w:tc>
        <w:tc>
          <w:tcPr>
            <w:tcW w:type="dxa" w:w="176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Approval Gates</w:t>
            </w:r>
          </w:p>
        </w:tc>
      </w:tr>
      <w:tr>
        <w:tc>
          <w:tcPr>
            <w:tcW w:type="dxa" w:w="14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Low</w:t>
            </w:r>
          </w:p>
        </w:tc>
        <w:tc>
          <w:tcPr>
            <w:tcW w:type="dxa" w:w="20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Full Autonomous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End-to-end execution with milestone validation</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Spot-check sampling at defined rate</w:t>
            </w:r>
          </w:p>
        </w:tc>
        <w:tc>
          <w:tcPr>
            <w:tcW w:type="dxa" w:w="17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Automated at all gates</w:t>
            </w:r>
          </w:p>
        </w:tc>
      </w:tr>
      <w:tr>
        <w:tc>
          <w:tcPr>
            <w:tcW w:type="dxa" w:w="14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Moderate</w:t>
            </w:r>
          </w:p>
        </w:tc>
        <w:tc>
          <w:tcPr>
            <w:tcW w:type="dxa" w:w="20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Phase-Level Autonomous</w:t>
            </w:r>
          </w:p>
        </w:tc>
        <w:tc>
          <w:tcPr>
            <w:tcW w:type="dxa" w:w="24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Autonomous within phases; human approval at transitions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Mandatory at phase gates</w:t>
            </w:r>
          </w:p>
        </w:tc>
        <w:tc>
          <w:tcPr>
            <w:tcW w:type="dxa" w:w="17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Human sign-off at phase transitions</w:t>
            </w:r>
          </w:p>
        </w:tc>
      </w:tr>
      <w:tr>
        <w:tc>
          <w:tcPr>
            <w:tcW w:type="dxa" w:w="14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High</w:t>
            </w:r>
          </w:p>
        </w:tc>
        <w:tc>
          <w:tcPr>
            <w:tcW w:type="dxa" w:w="20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Assisted Autonomous</w:t>
            </w:r>
          </w:p>
        </w:tc>
        <w:tc>
          <w:tcPr>
            <w:tcW w:type="dxa" w:w="24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Agent generates artifacts; human reviews and approves each</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All artifacts require human review</w:t>
            </w:r>
          </w:p>
        </w:tc>
        <w:tc>
          <w:tcPr>
            <w:tcW w:type="dxa" w:w="17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Human approval at all gates with dual sign-off</w:t>
            </w:r>
          </w:p>
        </w:tc>
      </w:tr>
      <w:tr>
        <w:tc>
          <w:tcPr>
            <w:tcW w:type="dxa" w:w="14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Critical</w:t>
            </w:r>
          </w:p>
        </w:tc>
        <w:tc>
          <w:tcPr>
            <w:tcW w:type="dxa" w:w="20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Advisory Mode</w:t>
            </w:r>
          </w:p>
        </w:tc>
        <w:tc>
          <w:tcPr>
            <w:tcW w:type="dxa" w:w="24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Agents provide recommendations; humans make all decisions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Comprehensive human review of all outputs</w:t>
            </w:r>
          </w:p>
        </w:tc>
        <w:tc>
          <w:tcPr>
            <w:tcW w:type="dxa" w:w="17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Multi-party human approval with governance board oversight</w:t>
            </w:r>
          </w:p>
        </w:tc>
      </w:tr>
    </w:tbl>
    <w:p>
      <w:pPr>
        <w:pStyle w:val="Heading2"/>
        <w:spacing w:before="300" w:after="160"/>
      </w:pPr>
      <w:r>
        <w:rPr>
          <w:rFonts w:ascii="Arial" w:cs="Arial" w:eastAsia="Arial" w:hAnsi="Arial"/>
          <w:b/>
          <w:bCs/>
          <w:color w:val="2E75B6"/>
          <w:sz w:val="30"/>
          <w:szCs w:val="30"/>
        </w:rPr>
        <w:t xml:space="preserve">3.5.4 Automated Compliance Validation Gates</w:t>
      </w:r>
    </w:p>
    <w:p>
      <w:pPr>
        <w:spacing w:before="60" w:after="60"/>
        <w:jc w:val="left"/>
      </w:pPr>
      <w:r>
        <w:rPr>
          <w:rFonts w:ascii="Arial" w:cs="Arial" w:eastAsia="Arial" w:hAnsi="Arial"/>
          <w:b w:val="false"/>
          <w:bCs w:val="false"/>
          <w:i w:val="false"/>
          <w:iCs w:val="false"/>
          <w:color w:val="2D2D2D"/>
          <w:sz w:val="22"/>
          <w:szCs w:val="22"/>
        </w:rPr>
        <w:t xml:space="preserve">Compliance validation gates are embedded at defined points throughout the development pipeline, functioning as automated checkpoints that verify compliance status before allowing artifacts to progress to the next phase. Each gate evaluates the artifacts produced in the preceding phase against the applicable policy-as-code rules for the initiative’s risk classification.</w:t>
      </w:r>
    </w:p>
    <w:p>
      <w:pPr>
        <w:spacing w:before="60" w:after="60"/>
        <w:jc w:val="left"/>
      </w:pPr>
      <w:r>
        <w:rPr>
          <w:rFonts w:ascii="Arial" w:cs="Arial" w:eastAsia="Arial" w:hAnsi="Arial"/>
          <w:b w:val="false"/>
          <w:bCs w:val="false"/>
          <w:i w:val="false"/>
          <w:iCs w:val="false"/>
          <w:color w:val="2D2D2D"/>
          <w:sz w:val="22"/>
          <w:szCs w:val="22"/>
        </w:rPr>
        <w:t xml:space="preserve">The gate evaluation process follows a deterministic sequence. The gate controller receives the artifact package from the preceding phase, including all generated artifacts, agent execution logs, and intermediate validation results. The applicable policy rules are retrieved from the Policy-as-Code Framework based on the initiative’s risk classification and the current SDLC phase. Each policy rule is evaluated against the artifact package, producing a pass, fail, or warning result for each rule. Results are aggregated into a gate verdict: pass (all rules satisfied), conditional pass (warnings present but no failures, requiring acknowledgment), or fail (one or more rule failures requiring remediation). The gate verdict, detailed results, and supporting evidence are recorded in the compliance evidence repository.</w:t>
      </w:r>
    </w:p>
    <w:p>
      <w:pPr>
        <w:spacing w:before="60" w:after="60"/>
        <w:jc w:val="left"/>
      </w:pPr>
      <w:r>
        <w:rPr>
          <w:rFonts w:ascii="Arial" w:cs="Arial" w:eastAsia="Arial" w:hAnsi="Arial"/>
          <w:b w:val="false"/>
          <w:bCs w:val="false"/>
          <w:i w:val="false"/>
          <w:iCs w:val="false"/>
          <w:color w:val="2D2D2D"/>
          <w:sz w:val="22"/>
          <w:szCs w:val="22"/>
        </w:rPr>
        <w:t xml:space="preserve">For failed gates, the remediation workflow varies by risk classification. In low-risk initiatives, the agent that produced the failing artifact receives the failure details and automatically generates a remediated version. In moderate and higher-risk initiatives, the failure is escalated to the appropriate human reviewer along with the agent’s recommended remediation, and human approval is required before the remediated artifact can be resubmitted to the gate.</w:t>
      </w:r>
    </w:p>
    <w:p>
      <w:pPr>
        <w:pStyle w:val="Heading2"/>
        <w:spacing w:before="300" w:after="160"/>
      </w:pPr>
      <w:r>
        <w:rPr>
          <w:rFonts w:ascii="Arial" w:cs="Arial" w:eastAsia="Arial" w:hAnsi="Arial"/>
          <w:b/>
          <w:bCs/>
          <w:color w:val="2E75B6"/>
          <w:sz w:val="30"/>
          <w:szCs w:val="30"/>
        </w:rPr>
        <w:t xml:space="preserve">3.5.5 Audit Trail and Evidence Generation</w:t>
      </w:r>
    </w:p>
    <w:p>
      <w:pPr>
        <w:spacing w:before="60" w:after="60"/>
        <w:jc w:val="left"/>
      </w:pPr>
      <w:r>
        <w:rPr>
          <w:rFonts w:ascii="Arial" w:cs="Arial" w:eastAsia="Arial" w:hAnsi="Arial"/>
          <w:b w:val="false"/>
          <w:bCs w:val="false"/>
          <w:i w:val="false"/>
          <w:iCs w:val="false"/>
          <w:color w:val="2D2D2D"/>
          <w:sz w:val="22"/>
          <w:szCs w:val="22"/>
        </w:rPr>
        <w:t xml:space="preserve">The compliance evidence generation system operates continuously throughout the SDLC, producing the documentary evidence needed to demonstrate compliance during internal and external audits. The system generates evidence automatically as a byproduct of normal agent operations, eliminating the need for separate evidence collection activities.</w:t>
      </w:r>
    </w:p>
    <w:p>
      <w:pPr>
        <w:spacing w:before="60" w:after="60"/>
        <w:jc w:val="left"/>
      </w:pPr>
      <w:r>
        <w:rPr>
          <w:rFonts w:ascii="Arial" w:cs="Arial" w:eastAsia="Arial" w:hAnsi="Arial"/>
          <w:b w:val="false"/>
          <w:bCs w:val="false"/>
          <w:i w:val="false"/>
          <w:iCs w:val="false"/>
          <w:color w:val="2D2D2D"/>
          <w:sz w:val="22"/>
          <w:szCs w:val="22"/>
        </w:rPr>
        <w:t xml:space="preserve">Evidence types include process evidence documenting that the required development process was followed, including agent execution logs, workflow state transitions, and approval records. Control evidence demonstrates that required controls are implemented and functioning, including test results, security scan reports, and configuration verification outputs. Decision evidence captures the rationale for significant decisions, including architecture decision records, risk acceptance documentation, and exception approvals. Compliance evidence provides direct attestation of compliance with specific regulatory requirements, including compliance validation gate results, regulatory mapping traceability, and control attestation packages.</w:t>
      </w:r>
    </w:p>
    <w:p>
      <w:pPr>
        <w:spacing w:before="60" w:after="60"/>
        <w:jc w:val="left"/>
      </w:pPr>
      <w:r>
        <w:rPr>
          <w:rFonts w:ascii="Arial" w:cs="Arial" w:eastAsia="Arial" w:hAnsi="Arial"/>
          <w:b w:val="false"/>
          <w:bCs w:val="false"/>
          <w:i w:val="false"/>
          <w:iCs w:val="false"/>
          <w:color w:val="2D2D2D"/>
          <w:sz w:val="22"/>
          <w:szCs w:val="22"/>
        </w:rPr>
        <w:t xml:space="preserve">Evidence is organized in an audit-ready structure that aligns with common audit frameworks and can be exported in formats compatible with governance, risk, and compliance platforms. The evidence repository maintains a complete chain of custody for all evidence artifacts, ensuring that evidence integrity can be verified at any time.</w:t>
      </w:r>
    </w:p>
    <w:p>
      <w:r>
        <w:br w:type="page"/>
      </w:r>
    </w:p>
    <w:p>
      <w:pPr>
        <w:pStyle w:val="Heading1"/>
        <w:spacing w:before="360" w:after="200"/>
      </w:pPr>
      <w:r>
        <w:rPr>
          <w:rFonts w:ascii="Arial" w:cs="Arial" w:eastAsia="Arial" w:hAnsi="Arial"/>
          <w:b/>
          <w:bCs/>
          <w:color w:val="1B3A5C"/>
          <w:sz w:val="36"/>
          <w:szCs w:val="36"/>
        </w:rPr>
        <w:t xml:space="preserve">3.6 Agent Swarm Architecture</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 Agent Swarm Architecture extends the core multi-agent framework with swarm intelligence patterns that enable large-scale, parallelized analysis tasks. While the core agent roles operate within the structured orchestration hierarchy described in Section 3.2, swarm-based agents operate in a more distributed, emergent coordination model that is particularly effective for tasks requiring broad exploration, multi-dimensional evaluation, and rapid convergence on complex assessments.</w:t>
      </w:r>
    </w:p>
    <w:p>
      <w:pPr>
        <w:pStyle w:val="Heading2"/>
        <w:spacing w:before="300" w:after="160"/>
      </w:pPr>
      <w:r>
        <w:rPr>
          <w:rFonts w:ascii="Arial" w:cs="Arial" w:eastAsia="Arial" w:hAnsi="Arial"/>
          <w:b/>
          <w:bCs/>
          <w:color w:val="2E75B6"/>
          <w:sz w:val="30"/>
          <w:szCs w:val="30"/>
        </w:rPr>
        <w:t xml:space="preserve">3.6.1 Swarm Coordination Patterns</w:t>
      </w:r>
    </w:p>
    <w:p>
      <w:pPr>
        <w:spacing w:before="60" w:after="60"/>
        <w:jc w:val="left"/>
      </w:pPr>
      <w:r>
        <w:rPr>
          <w:rFonts w:ascii="Arial" w:cs="Arial" w:eastAsia="Arial" w:hAnsi="Arial"/>
          <w:b w:val="false"/>
          <w:bCs w:val="false"/>
          <w:i w:val="false"/>
          <w:iCs w:val="false"/>
          <w:color w:val="2D2D2D"/>
          <w:sz w:val="22"/>
          <w:szCs w:val="22"/>
        </w:rPr>
        <w:t xml:space="preserve">Agent swarms employ coordination patterns inspired by distributed computing and swarm intelligence research. Three primary patterns are used within the architecture.</w:t>
      </w:r>
    </w:p>
    <w:p>
      <w:pPr>
        <w:pStyle w:val="Heading3"/>
        <w:spacing w:before="240" w:after="120"/>
      </w:pPr>
      <w:r>
        <w:rPr>
          <w:rFonts w:ascii="Arial" w:cs="Arial" w:eastAsia="Arial" w:hAnsi="Arial"/>
          <w:b/>
          <w:bCs/>
          <w:color w:val="4A90D9"/>
          <w:sz w:val="26"/>
          <w:szCs w:val="26"/>
        </w:rPr>
        <w:t xml:space="preserve">Parallel Exploration Pattern</w:t>
      </w:r>
    </w:p>
    <w:p>
      <w:pPr>
        <w:spacing w:before="60" w:after="60"/>
        <w:jc w:val="left"/>
      </w:pPr>
      <w:r>
        <w:rPr>
          <w:rFonts w:ascii="Arial" w:cs="Arial" w:eastAsia="Arial" w:hAnsi="Arial"/>
          <w:b w:val="false"/>
          <w:bCs w:val="false"/>
          <w:i w:val="false"/>
          <w:iCs w:val="false"/>
          <w:color w:val="2D2D2D"/>
          <w:sz w:val="22"/>
          <w:szCs w:val="22"/>
        </w:rPr>
        <w:t xml:space="preserve">Multiple agents simultaneously explore different dimensions of a problem space, each evaluating a distinct aspect of the target. Results are aggregated by a swarm coordinator that synthesizes the individual assessments into a comprehensive evaluation. This pattern is used for vendor technology evaluations, where different agents evaluate different compliance dimensions in parallel.</w:t>
      </w:r>
    </w:p>
    <w:p>
      <w:pPr>
        <w:pStyle w:val="Heading3"/>
        <w:spacing w:before="240" w:after="120"/>
      </w:pPr>
      <w:r>
        <w:rPr>
          <w:rFonts w:ascii="Arial" w:cs="Arial" w:eastAsia="Arial" w:hAnsi="Arial"/>
          <w:b/>
          <w:bCs/>
          <w:color w:val="4A90D9"/>
          <w:sz w:val="26"/>
          <w:szCs w:val="26"/>
        </w:rPr>
        <w:t xml:space="preserve">Competitive Evaluation Pattern</w:t>
      </w:r>
    </w:p>
    <w:p>
      <w:pPr>
        <w:spacing w:before="60" w:after="60"/>
        <w:jc w:val="left"/>
      </w:pPr>
      <w:r>
        <w:rPr>
          <w:rFonts w:ascii="Arial" w:cs="Arial" w:eastAsia="Arial" w:hAnsi="Arial"/>
          <w:b w:val="false"/>
          <w:bCs w:val="false"/>
          <w:i w:val="false"/>
          <w:iCs w:val="false"/>
          <w:color w:val="2D2D2D"/>
          <w:sz w:val="22"/>
          <w:szCs w:val="22"/>
        </w:rPr>
        <w:t xml:space="preserve">Multiple agents independently attempt to solve the same problem, and their solutions are compared to identify the highest-quality output. This pattern is used for code generation of critical components, where multiple generation approaches are compared for quality, performance, and security characteristics. The competitive evaluation includes automated scoring across defined quality dimensions, with the winning solution selected for promotion.</w:t>
      </w:r>
    </w:p>
    <w:p>
      <w:pPr>
        <w:pStyle w:val="Heading3"/>
        <w:spacing w:before="240" w:after="120"/>
      </w:pPr>
      <w:r>
        <w:rPr>
          <w:rFonts w:ascii="Arial" w:cs="Arial" w:eastAsia="Arial" w:hAnsi="Arial"/>
          <w:b/>
          <w:bCs/>
          <w:color w:val="4A90D9"/>
          <w:sz w:val="26"/>
          <w:szCs w:val="26"/>
        </w:rPr>
        <w:t xml:space="preserve">Consensus Building Pattern</w:t>
      </w:r>
    </w:p>
    <w:p>
      <w:pPr>
        <w:spacing w:before="60" w:after="60"/>
        <w:jc w:val="left"/>
      </w:pPr>
      <w:r>
        <w:rPr>
          <w:rFonts w:ascii="Arial" w:cs="Arial" w:eastAsia="Arial" w:hAnsi="Arial"/>
          <w:b w:val="false"/>
          <w:bCs w:val="false"/>
          <w:i w:val="false"/>
          <w:iCs w:val="false"/>
          <w:color w:val="2D2D2D"/>
          <w:sz w:val="22"/>
          <w:szCs w:val="22"/>
        </w:rPr>
        <w:t xml:space="preserve">Agents iteratively share their assessments and adjust their positions based on the assessments of other agents, converging toward a consensus conclusion. This pattern is used for risk assessment activities where multiple perspectives must be synthesized into a unified risk determination. The consensus process is bounded by configurable iteration limits and convergence thresholds to ensure timely completion.</w:t>
      </w:r>
    </w:p>
    <w:p>
      <w:pPr>
        <w:pStyle w:val="Heading2"/>
        <w:spacing w:before="300" w:after="160"/>
      </w:pPr>
      <w:r>
        <w:rPr>
          <w:rFonts w:ascii="Arial" w:cs="Arial" w:eastAsia="Arial" w:hAnsi="Arial"/>
          <w:b/>
          <w:bCs/>
          <w:color w:val="2E75B6"/>
          <w:sz w:val="30"/>
          <w:szCs w:val="30"/>
        </w:rPr>
        <w:t xml:space="preserve">3.6.2 Vendor Technology Evaluation Swarms</w:t>
      </w:r>
    </w:p>
    <w:p>
      <w:pPr>
        <w:spacing w:before="60" w:after="60"/>
        <w:jc w:val="left"/>
      </w:pPr>
      <w:r>
        <w:rPr>
          <w:rFonts w:ascii="Arial" w:cs="Arial" w:eastAsia="Arial" w:hAnsi="Arial"/>
          <w:b w:val="false"/>
          <w:bCs w:val="false"/>
          <w:i w:val="false"/>
          <w:iCs w:val="false"/>
          <w:color w:val="2D2D2D"/>
          <w:sz w:val="22"/>
          <w:szCs w:val="22"/>
        </w:rPr>
        <w:t xml:space="preserve">One of the most strategically significant applications of the swarm architecture is in vendor technology evaluation, where agent swarms perform comprehensive, parallelized assessments of third-party technologies against the organization’s compliance, security, and technical requirements. This capability directly supports the TPRM process defined in Section 5 by front-loading much of the technical evaluation work that traditionally requires extensive manual analysis.</w:t>
      </w:r>
    </w:p>
    <w:p>
      <w:pPr>
        <w:spacing w:before="60" w:after="60"/>
        <w:jc w:val="left"/>
      </w:pPr>
      <w:r>
        <w:rPr>
          <w:rFonts w:ascii="Arial" w:cs="Arial" w:eastAsia="Arial" w:hAnsi="Arial"/>
          <w:b w:val="false"/>
          <w:bCs w:val="false"/>
          <w:i w:val="false"/>
          <w:iCs w:val="false"/>
          <w:color w:val="2D2D2D"/>
          <w:sz w:val="22"/>
          <w:szCs w:val="22"/>
        </w:rPr>
        <w:t xml:space="preserve">A vendor evaluation swarm consists of specialized assessment agents that simultaneously evaluate different dimensions of the vendor’s technology. The Security Assessment Agent evaluates the vendor’s security posture, including authentication mechanisms, encryption implementation, vulnerability management practices, and penetration testing results. The Compliance Assessment Agent evaluates regulatory compliance including data handling practices, privacy controls, audit capabilities, and regulatory certifications. The Technical Assessment Agent evaluates architecture quality, scalability characteristics, API design, integration capabilities, and technology stack alignment. The Operational Assessment Agent evaluates operational maturity including monitoring capabilities, incident response processes, disaster recovery provisions, and SLA performance history. The Financial Assessment Agent evaluates pricing models, total cost of ownership projections, and financial stability indicators.</w:t>
      </w:r>
    </w:p>
    <w:p>
      <w:pPr>
        <w:spacing w:before="60" w:after="60"/>
        <w:jc w:val="left"/>
      </w:pPr>
      <w:r>
        <w:rPr>
          <w:rFonts w:ascii="Arial" w:cs="Arial" w:eastAsia="Arial" w:hAnsi="Arial"/>
          <w:b w:val="false"/>
          <w:bCs w:val="false"/>
          <w:i w:val="false"/>
          <w:iCs w:val="false"/>
          <w:color w:val="2D2D2D"/>
          <w:sz w:val="22"/>
          <w:szCs w:val="22"/>
        </w:rPr>
        <w:t xml:space="preserve">These agents operate in parallel, each producing a structured assessment report. The Swarm Coordinator aggregates these reports into a comprehensive vendor evaluation that includes overall and dimensional risk scores, compliance gap identification, integration complexity assessment, and a recommendation with confidence level. Critically, the evaluation standards established by the swarm feed directly into the observability requirements for the initiative, ensuring that the telemetry and monitoring standards identified during vendor evaluation are implemented through the development process.</w:t>
      </w:r>
    </w:p>
    <w:p>
      <w:pPr>
        <w:pStyle w:val="Heading2"/>
        <w:spacing w:before="300" w:after="160"/>
      </w:pPr>
      <w:r>
        <w:rPr>
          <w:rFonts w:ascii="Arial" w:cs="Arial" w:eastAsia="Arial" w:hAnsi="Arial"/>
          <w:b/>
          <w:bCs/>
          <w:color w:val="2E75B6"/>
          <w:sz w:val="30"/>
          <w:szCs w:val="30"/>
        </w:rPr>
        <w:t xml:space="preserve">3.6.3 Code Analysis Swarms</w:t>
      </w:r>
    </w:p>
    <w:p>
      <w:pPr>
        <w:spacing w:before="60" w:after="60"/>
        <w:jc w:val="left"/>
      </w:pPr>
      <w:r>
        <w:rPr>
          <w:rFonts w:ascii="Arial" w:cs="Arial" w:eastAsia="Arial" w:hAnsi="Arial"/>
          <w:b w:val="false"/>
          <w:bCs w:val="false"/>
          <w:i w:val="false"/>
          <w:iCs w:val="false"/>
          <w:color w:val="2D2D2D"/>
          <w:sz w:val="22"/>
          <w:szCs w:val="22"/>
        </w:rPr>
        <w:t xml:space="preserve">Code analysis swarms are deployed for comprehensive codebase evaluation tasks that benefit from parallelized, multi-dimensional analysis. These swarms are particularly valuable during large-scale code reviews, legacy codebase assessment, and technical debt quantification. Individual agents within the swarm specialize in different analysis dimensions including architectural pattern compliance, security vulnerability detection, performance optimization opportunity identification, accessibility compliance evaluation, and code quality metric assessment. The swarm produces a unified analysis report that prioritizes findings by risk severity and remediation effort, providing development teams with a clear action plan.</w:t>
      </w:r>
    </w:p>
    <w:p>
      <w:pPr>
        <w:pStyle w:val="Heading2"/>
        <w:spacing w:before="300" w:after="160"/>
      </w:pPr>
      <w:r>
        <w:rPr>
          <w:rFonts w:ascii="Arial" w:cs="Arial" w:eastAsia="Arial" w:hAnsi="Arial"/>
          <w:b/>
          <w:bCs/>
          <w:color w:val="2E75B6"/>
          <w:sz w:val="30"/>
          <w:szCs w:val="30"/>
        </w:rPr>
        <w:t xml:space="preserve">3.6.4 Security Assessment Swarms</w:t>
      </w:r>
    </w:p>
    <w:p>
      <w:pPr>
        <w:spacing w:before="60" w:after="60"/>
        <w:jc w:val="left"/>
      </w:pPr>
      <w:r>
        <w:rPr>
          <w:rFonts w:ascii="Arial" w:cs="Arial" w:eastAsia="Arial" w:hAnsi="Arial"/>
          <w:b w:val="false"/>
          <w:bCs w:val="false"/>
          <w:i w:val="false"/>
          <w:iCs w:val="false"/>
          <w:color w:val="2D2D2D"/>
          <w:sz w:val="22"/>
          <w:szCs w:val="22"/>
        </w:rPr>
        <w:t xml:space="preserve">Security assessment swarms combine automated scanning, AI-driven vulnerability analysis, and attack simulation to produce comprehensive security assessments. These swarms operate both during development (assessing code and configuration changes) and post-deployment (performing continuous security validation). The swarm includes agents specialized in static analysis, dynamic analysis, dependency vulnerability assessment, configuration security review, and infrastructure security evaluation. The coordinated approach ensures comprehensive coverage that individual tools or agents might miss when operating in isolation.</w:t>
      </w:r>
    </w:p>
    <w:p>
      <w:pPr>
        <w:pStyle w:val="Heading2"/>
        <w:spacing w:before="300" w:after="160"/>
      </w:pPr>
      <w:r>
        <w:rPr>
          <w:rFonts w:ascii="Arial" w:cs="Arial" w:eastAsia="Arial" w:hAnsi="Arial"/>
          <w:b/>
          <w:bCs/>
          <w:color w:val="2E75B6"/>
          <w:sz w:val="30"/>
          <w:szCs w:val="30"/>
        </w:rPr>
        <w:t xml:space="preserve">3.6.5 Swarm Scalability and Resource Management</w:t>
      </w:r>
    </w:p>
    <w:p>
      <w:pPr>
        <w:spacing w:before="60" w:after="60"/>
        <w:jc w:val="left"/>
      </w:pPr>
      <w:r>
        <w:rPr>
          <w:rFonts w:ascii="Arial" w:cs="Arial" w:eastAsia="Arial" w:hAnsi="Arial"/>
          <w:b w:val="false"/>
          <w:bCs w:val="false"/>
          <w:i w:val="false"/>
          <w:iCs w:val="false"/>
          <w:color w:val="2D2D2D"/>
          <w:sz w:val="22"/>
          <w:szCs w:val="22"/>
        </w:rPr>
        <w:t xml:space="preserve">Swarm operations are managed by the Swarm Resource Manager, which dynamically allocates compute resources based on evaluation complexity, urgency, and available capacity. The resource manager implements intelligent scaling policies that provision additional agent instances when evaluation queues exceed defined thresholds, consolidate agents during low-demand periods to optimize cost, and prioritize resource allocation based on initiative risk classification and deadline proximity. Resource utilization telemetry is continuously monitored to optimize cost efficiency while maintaining evaluation throughput SLAs.</w:t>
      </w:r>
    </w:p>
    <w:p>
      <w:r>
        <w:br w:type="page"/>
      </w:r>
    </w:p>
    <w:p>
      <w:pPr>
        <w:pStyle w:val="Heading1"/>
        <w:spacing w:before="360" w:after="200"/>
      </w:pPr>
      <w:r>
        <w:rPr>
          <w:rFonts w:ascii="Arial" w:cs="Arial" w:eastAsia="Arial" w:hAnsi="Arial"/>
          <w:b/>
          <w:bCs/>
          <w:color w:val="1B3A5C"/>
          <w:sz w:val="36"/>
          <w:szCs w:val="36"/>
        </w:rPr>
        <w:t xml:space="preserve">3.7 AI-Assisted Code Generation Pipeline</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 AI-Assisted Code Generation Pipeline defines the end-to-end process through which source code is produced, validated, and refined by the Code Generation Agent in collaboration with other agents. This pipeline is designed to produce production-quality code that is indistinguishable from expert human-written code in terms of quality, maintainability, and compliance adherence.</w:t>
      </w:r>
    </w:p>
    <w:p>
      <w:pPr>
        <w:pStyle w:val="Heading2"/>
        <w:spacing w:before="300" w:after="160"/>
      </w:pPr>
      <w:r>
        <w:rPr>
          <w:rFonts w:ascii="Arial" w:cs="Arial" w:eastAsia="Arial" w:hAnsi="Arial"/>
          <w:b/>
          <w:bCs/>
          <w:color w:val="2E75B6"/>
          <w:sz w:val="30"/>
          <w:szCs w:val="30"/>
        </w:rPr>
        <w:t xml:space="preserve">3.7.1 Context-Aware Code Generation</w:t>
      </w:r>
    </w:p>
    <w:p>
      <w:pPr>
        <w:spacing w:before="60" w:after="60"/>
        <w:jc w:val="left"/>
      </w:pPr>
      <w:r>
        <w:rPr>
          <w:rFonts w:ascii="Arial" w:cs="Arial" w:eastAsia="Arial" w:hAnsi="Arial"/>
          <w:b w:val="false"/>
          <w:bCs w:val="false"/>
          <w:i w:val="false"/>
          <w:iCs w:val="false"/>
          <w:color w:val="2D2D2D"/>
          <w:sz w:val="22"/>
          <w:szCs w:val="22"/>
        </w:rPr>
        <w:t xml:space="preserve">The Code Generation Agent operates with full contextual awareness of the architectural environment, existing codebase, organizational standards, and compliance requirements. Before generating any code, the agent constructs a comprehensive context package that includes the system architecture specification and relevant component designs, the existing codebase patterns including naming conventions, error handling patterns, and logging standards, the applicable coding standards and style guides, the compliance envelope including all regulatory and policy requirements that apply to the code being generated, the test interface specifications that the generated code must satisfy, and the dependency constraints including approved library versions and prohibited dependencies.</w:t>
      </w:r>
    </w:p>
    <w:p>
      <w:pPr>
        <w:spacing w:before="60" w:after="60"/>
        <w:jc w:val="left"/>
      </w:pPr>
      <w:r>
        <w:rPr>
          <w:rFonts w:ascii="Arial" w:cs="Arial" w:eastAsia="Arial" w:hAnsi="Arial"/>
          <w:b w:val="false"/>
          <w:bCs w:val="false"/>
          <w:i w:val="false"/>
          <w:iCs w:val="false"/>
          <w:color w:val="2D2D2D"/>
          <w:sz w:val="22"/>
          <w:szCs w:val="22"/>
        </w:rPr>
        <w:t xml:space="preserve">This context-aware approach ensures that generated code integrates seamlessly with the existing codebase and satisfies all applicable quality, security, and compliance requirements from the moment of generation rather than requiring extensive post-generation remediation.</w:t>
      </w:r>
    </w:p>
    <w:p>
      <w:pPr>
        <w:pStyle w:val="Heading2"/>
        <w:spacing w:before="300" w:after="160"/>
      </w:pPr>
      <w:r>
        <w:rPr>
          <w:rFonts w:ascii="Arial" w:cs="Arial" w:eastAsia="Arial" w:hAnsi="Arial"/>
          <w:b/>
          <w:bCs/>
          <w:color w:val="2E75B6"/>
          <w:sz w:val="30"/>
          <w:szCs w:val="30"/>
        </w:rPr>
        <w:t xml:space="preserve">3.7.2 Multi-Language and Multi-Framework Support</w:t>
      </w:r>
    </w:p>
    <w:p>
      <w:pPr>
        <w:spacing w:before="60" w:after="60"/>
        <w:jc w:val="left"/>
      </w:pPr>
      <w:r>
        <w:rPr>
          <w:rFonts w:ascii="Arial" w:cs="Arial" w:eastAsia="Arial" w:hAnsi="Arial"/>
          <w:b w:val="false"/>
          <w:bCs w:val="false"/>
          <w:i w:val="false"/>
          <w:iCs w:val="false"/>
          <w:color w:val="2D2D2D"/>
          <w:sz w:val="22"/>
          <w:szCs w:val="22"/>
        </w:rPr>
        <w:t xml:space="preserve">The pipeline supports code generation across the organization’s approved technology stack, with language-specific and framework-specific models that produce idiomatic code appropriate to each technology context. For each supported language and framework, the pipeline maintains language-specific coding standards and best practices, framework-specific patterns and anti-patterns, dependency management and version compatibility rules, build and packaging configurations, and language-specific security considerations. The pipeline automatically selects the appropriate language model and configuration based on the initiative’s technology stack specification, ensuring that generated code follows the conventions and best practices of the target technology.</w:t>
      </w:r>
    </w:p>
    <w:p>
      <w:pPr>
        <w:pStyle w:val="Heading2"/>
        <w:spacing w:before="300" w:after="160"/>
      </w:pPr>
      <w:r>
        <w:rPr>
          <w:rFonts w:ascii="Arial" w:cs="Arial" w:eastAsia="Arial" w:hAnsi="Arial"/>
          <w:b/>
          <w:bCs/>
          <w:color w:val="2E75B6"/>
          <w:sz w:val="30"/>
          <w:szCs w:val="30"/>
        </w:rPr>
        <w:t xml:space="preserve">3.7.3 Pattern Libraries and Reusable Component Generation</w:t>
      </w:r>
    </w:p>
    <w:p>
      <w:pPr>
        <w:spacing w:before="60" w:after="60"/>
        <w:jc w:val="left"/>
      </w:pPr>
      <w:r>
        <w:rPr>
          <w:rFonts w:ascii="Arial" w:cs="Arial" w:eastAsia="Arial" w:hAnsi="Arial"/>
          <w:b w:val="false"/>
          <w:bCs w:val="false"/>
          <w:i w:val="false"/>
          <w:iCs w:val="false"/>
          <w:color w:val="2D2D2D"/>
          <w:sz w:val="22"/>
          <w:szCs w:val="22"/>
        </w:rPr>
        <w:t xml:space="preserve">The pipeline maintains an enterprise pattern library that captures proven implementation patterns for common functionality. These patterns serve dual purposes: they accelerate code generation by providing high-quality templates, and they ensure consistency across the codebase by promoting reuse of validated patterns. The pattern library is organized by functional domain such as authentication, data access, event processing, and error handling, by architectural pattern such as microservice communication, circuit breaker, and saga, and by compliance pattern such as audit logging, data encryption, and consent management. Agents preferentially select from the pattern library when applicable, generating custom code only when no existing pattern satisfies the requirements. New patterns identified through the development process are reviewed, validated, and added to the library, creating a continuously growing asset that improves generation quality over time.</w:t>
      </w:r>
    </w:p>
    <w:p>
      <w:pPr>
        <w:pStyle w:val="Heading2"/>
        <w:spacing w:before="300" w:after="160"/>
      </w:pPr>
      <w:r>
        <w:rPr>
          <w:rFonts w:ascii="Arial" w:cs="Arial" w:eastAsia="Arial" w:hAnsi="Arial"/>
          <w:b/>
          <w:bCs/>
          <w:color w:val="2E75B6"/>
          <w:sz w:val="30"/>
          <w:szCs w:val="30"/>
        </w:rPr>
        <w:t xml:space="preserve">3.7.4 Code Quality Assurance Pipeline</w:t>
      </w:r>
    </w:p>
    <w:p>
      <w:pPr>
        <w:spacing w:before="60" w:after="60"/>
        <w:jc w:val="left"/>
      </w:pPr>
      <w:r>
        <w:rPr>
          <w:rFonts w:ascii="Arial" w:cs="Arial" w:eastAsia="Arial" w:hAnsi="Arial"/>
          <w:b w:val="false"/>
          <w:bCs w:val="false"/>
          <w:i w:val="false"/>
          <w:iCs w:val="false"/>
          <w:color w:val="2D2D2D"/>
          <w:sz w:val="22"/>
          <w:szCs w:val="22"/>
        </w:rPr>
        <w:t xml:space="preserve">Every code artifact produced by the generation pipeline passes through a multi-stage quality assurance pipeline before being accepted. This pipeline includes syntactic validation confirming that generated code compiles or parses correctly in the target language, static analysis evaluating code complexity, maintainability, and adherence to coding standards, security scanning detecting known vulnerability patterns and insecure coding practices, compliance validation verifying that all applicable policy-as-code rules are satisfied, unit test execution running the generated test suite and verifying coverage thresholds, and peer agent review by the Code Review and Quality Agent, which evaluates the code from an independent quality perspective.</w:t>
      </w:r>
    </w:p>
    <w:p>
      <w:pPr>
        <w:spacing w:before="60" w:after="60"/>
        <w:jc w:val="left"/>
      </w:pPr>
      <w:r>
        <w:rPr>
          <w:rFonts w:ascii="Arial" w:cs="Arial" w:eastAsia="Arial" w:hAnsi="Arial"/>
          <w:b w:val="false"/>
          <w:bCs w:val="false"/>
          <w:i w:val="false"/>
          <w:iCs w:val="false"/>
          <w:color w:val="2D2D2D"/>
          <w:sz w:val="22"/>
          <w:szCs w:val="22"/>
        </w:rPr>
        <w:t xml:space="preserve">Code that fails any stage of the quality assurance pipeline is returned to the generation stage with specific feedback describing the failure. The Code Generation Agent uses this feedback to generate an improved version, creating an iterative refinement cycle that converges on code that satisfies all quality criteria.</w:t>
      </w:r>
    </w:p>
    <w:p>
      <w:pPr>
        <w:pStyle w:val="Heading2"/>
        <w:spacing w:before="300" w:after="160"/>
      </w:pPr>
      <w:r>
        <w:rPr>
          <w:rFonts w:ascii="Arial" w:cs="Arial" w:eastAsia="Arial" w:hAnsi="Arial"/>
          <w:b/>
          <w:bCs/>
          <w:color w:val="2E75B6"/>
          <w:sz w:val="30"/>
          <w:szCs w:val="30"/>
        </w:rPr>
        <w:t xml:space="preserve">3.7.5 Refactoring and Technical Debt Remediation</w:t>
      </w:r>
    </w:p>
    <w:p>
      <w:pPr>
        <w:spacing w:before="60" w:after="60"/>
        <w:jc w:val="left"/>
      </w:pPr>
      <w:r>
        <w:rPr>
          <w:rFonts w:ascii="Arial" w:cs="Arial" w:eastAsia="Arial" w:hAnsi="Arial"/>
          <w:b w:val="false"/>
          <w:bCs w:val="false"/>
          <w:i w:val="false"/>
          <w:iCs w:val="false"/>
          <w:color w:val="2D2D2D"/>
          <w:sz w:val="22"/>
          <w:szCs w:val="22"/>
        </w:rPr>
        <w:t xml:space="preserve">Beyond generating new code, the pipeline includes capabilities for systematic refactoring and technical debt remediation of existing code. The Code Review and Quality Agent identifies technical debt items during its review activities, classifying each by type, severity, and estimated remediation effort. The Code Generation Agent can then be tasked with generating refactored versions of identified code segments, maintaining behavioral equivalence while improving code quality, maintainability, and compliance adherence. Refactoring activities are validated by the Testing and Validation Agent to confirm that no behavioral regressions are introduced.</w:t>
      </w:r>
    </w:p>
    <w:p>
      <w:r>
        <w:br w:type="page"/>
      </w:r>
    </w:p>
    <w:p>
      <w:pPr>
        <w:pStyle w:val="Heading1"/>
        <w:spacing w:before="360" w:after="200"/>
      </w:pPr>
      <w:r>
        <w:rPr>
          <w:rFonts w:ascii="Arial" w:cs="Arial" w:eastAsia="Arial" w:hAnsi="Arial"/>
          <w:b/>
          <w:bCs/>
          <w:color w:val="1B3A5C"/>
          <w:sz w:val="36"/>
          <w:szCs w:val="36"/>
        </w:rPr>
        <w:t xml:space="preserve">3.8 Automated Testing and Validation Framework</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 Automated Testing and Validation Framework defines the comprehensive testing strategy and execution infrastructure that ensures all software artifacts meet functional, non-functional, security, and compliance requirements before deployment. This framework is deeply integrated with the agent architecture, with the Testing and Validation Agent serving as the primary orchestrator of testing activities.</w:t>
      </w:r>
    </w:p>
    <w:p>
      <w:pPr>
        <w:pStyle w:val="Heading2"/>
        <w:spacing w:before="300" w:after="160"/>
      </w:pPr>
      <w:r>
        <w:rPr>
          <w:rFonts w:ascii="Arial" w:cs="Arial" w:eastAsia="Arial" w:hAnsi="Arial"/>
          <w:b/>
          <w:bCs/>
          <w:color w:val="2E75B6"/>
          <w:sz w:val="30"/>
          <w:szCs w:val="30"/>
        </w:rPr>
        <w:t xml:space="preserve">3.8.1 Test Generation Engine</w:t>
      </w:r>
    </w:p>
    <w:p>
      <w:pPr>
        <w:spacing w:before="60" w:after="60"/>
        <w:jc w:val="left"/>
      </w:pPr>
      <w:r>
        <w:rPr>
          <w:rFonts w:ascii="Arial" w:cs="Arial" w:eastAsia="Arial" w:hAnsi="Arial"/>
          <w:b w:val="false"/>
          <w:bCs w:val="false"/>
          <w:i w:val="false"/>
          <w:iCs w:val="false"/>
          <w:color w:val="2D2D2D"/>
          <w:sz w:val="22"/>
          <w:szCs w:val="22"/>
        </w:rPr>
        <w:t xml:space="preserve">The Test Generation Engine automatically produces test cases across all testing levels based on requirements, code structure, and risk analysis. The engine generates unit tests from code implementation details, function signatures, and documented behaviors. It generates integration tests from API contracts, service interface definitions, and component interaction specifications. It generates system tests from end-to-end user scenarios, business process definitions, and acceptance criteria. It generates performance tests from service-level requirements, expected load profiles, and scalability targets. It generates security tests from threat models, attack vectors, and security control specifications.</w:t>
      </w:r>
    </w:p>
    <w:p>
      <w:pPr>
        <w:spacing w:before="60" w:after="60"/>
        <w:jc w:val="left"/>
      </w:pPr>
      <w:r>
        <w:rPr>
          <w:rFonts w:ascii="Arial" w:cs="Arial" w:eastAsia="Arial" w:hAnsi="Arial"/>
          <w:b w:val="false"/>
          <w:bCs w:val="false"/>
          <w:i w:val="false"/>
          <w:iCs w:val="false"/>
          <w:color w:val="2D2D2D"/>
          <w:sz w:val="22"/>
          <w:szCs w:val="22"/>
        </w:rPr>
        <w:t xml:space="preserve">Each generated test includes clear traceability to its source requirement or risk factor, ensuring that the testing effort is directly aligned with the verification needs of the initiative. The engine employs multiple test generation strategies including specification-based generation from requirements, structure-based generation from code analysis, risk-based generation from threat models and risk assessments, and exploratory generation using AI-driven fuzzing and boundary analysis.</w:t>
      </w:r>
    </w:p>
    <w:p>
      <w:pPr>
        <w:pStyle w:val="Heading2"/>
        <w:spacing w:before="300" w:after="160"/>
      </w:pPr>
      <w:r>
        <w:rPr>
          <w:rFonts w:ascii="Arial" w:cs="Arial" w:eastAsia="Arial" w:hAnsi="Arial"/>
          <w:b/>
          <w:bCs/>
          <w:color w:val="2E75B6"/>
          <w:sz w:val="30"/>
          <w:szCs w:val="30"/>
        </w:rPr>
        <w:t xml:space="preserve">3.8.2 Test Coverage Analysis</w:t>
      </w:r>
    </w:p>
    <w:p>
      <w:pPr>
        <w:spacing w:before="60" w:after="60"/>
        <w:jc w:val="left"/>
      </w:pPr>
      <w:r>
        <w:rPr>
          <w:rFonts w:ascii="Arial" w:cs="Arial" w:eastAsia="Arial" w:hAnsi="Arial"/>
          <w:b w:val="false"/>
          <w:bCs w:val="false"/>
          <w:i w:val="false"/>
          <w:iCs w:val="false"/>
          <w:color w:val="2D2D2D"/>
          <w:sz w:val="22"/>
          <w:szCs w:val="22"/>
        </w:rPr>
        <w:t xml:space="preserve">The framework maintains continuous test coverage analysis across multiple coverage dimensions. Code coverage measures the percentage of code paths exercised by the test suite. Requirements coverage tracks the percentage of requirements verified by at least one test case. Risk coverage evaluates whether all identified risk scenarios have corresponding test coverage. Compliance coverage verifies that all compliance requirements have associated validation tests. Mutation coverage measures the test suite’s ability to detect injected code mutations, providing a more meaningful assessment of test effectiveness than code coverage alone.</w:t>
      </w:r>
    </w:p>
    <w:p>
      <w:pPr>
        <w:spacing w:before="60" w:after="60"/>
        <w:jc w:val="left"/>
      </w:pPr>
      <w:r>
        <w:rPr>
          <w:rFonts w:ascii="Arial" w:cs="Arial" w:eastAsia="Arial" w:hAnsi="Arial"/>
          <w:b w:val="false"/>
          <w:bCs w:val="false"/>
          <w:i w:val="false"/>
          <w:iCs w:val="false"/>
          <w:color w:val="2D2D2D"/>
          <w:sz w:val="22"/>
          <w:szCs w:val="22"/>
        </w:rPr>
        <w:t xml:space="preserve">Coverage thresholds are defined by risk classification tier, with higher-risk initiatives requiring more stringent coverage levels. The Testing and Validation Agent monitors coverage continuously during the development phase and generates supplemental tests when coverage falls below defined thresholds.</w:t>
      </w:r>
    </w:p>
    <w:p>
      <w:pPr>
        <w:pStyle w:val="Heading2"/>
        <w:spacing w:before="300" w:after="160"/>
      </w:pPr>
      <w:r>
        <w:rPr>
          <w:rFonts w:ascii="Arial" w:cs="Arial" w:eastAsia="Arial" w:hAnsi="Arial"/>
          <w:b/>
          <w:bCs/>
          <w:color w:val="2E75B6"/>
          <w:sz w:val="30"/>
          <w:szCs w:val="30"/>
        </w:rPr>
        <w:t xml:space="preserve">3.8.3 Continuous Testing Pipeline</w:t>
      </w:r>
    </w:p>
    <w:p>
      <w:pPr>
        <w:spacing w:before="60" w:after="60"/>
        <w:jc w:val="left"/>
      </w:pPr>
      <w:r>
        <w:rPr>
          <w:rFonts w:ascii="Arial" w:cs="Arial" w:eastAsia="Arial" w:hAnsi="Arial"/>
          <w:b w:val="false"/>
          <w:bCs w:val="false"/>
          <w:i w:val="false"/>
          <w:iCs w:val="false"/>
          <w:color w:val="2D2D2D"/>
          <w:sz w:val="22"/>
          <w:szCs w:val="22"/>
        </w:rPr>
        <w:t xml:space="preserve">The continuous testing pipeline executes tests automatically as artifacts progress through the development workflow. Tests are organized into execution tiers that balance thoroughness with execution speed. The fast feedback tier consisting of unit tests and critical path smoke tests executes on every code change, providing feedback within minutes. The comprehensive tier consisting of full integration and system tests executes at regular intervals and at phase gates, providing thorough validation within the sprint cycle. The deep validation tier consisting of performance tests, security penetration tests, and chaos engineering exercises executes at major milestones and pre-deployment gates, providing comprehensive confidence in system readiness.</w:t>
      </w:r>
    </w:p>
    <w:p>
      <w:pPr>
        <w:spacing w:before="60" w:after="60"/>
        <w:jc w:val="left"/>
      </w:pPr>
      <w:r>
        <w:rPr>
          <w:rFonts w:ascii="Arial" w:cs="Arial" w:eastAsia="Arial" w:hAnsi="Arial"/>
          <w:b w:val="false"/>
          <w:bCs w:val="false"/>
          <w:i w:val="false"/>
          <w:iCs w:val="false"/>
          <w:color w:val="2D2D2D"/>
          <w:sz w:val="22"/>
          <w:szCs w:val="22"/>
        </w:rPr>
        <w:t xml:space="preserve">The pipeline integrates with the CI/CD infrastructure described in Section 3.9, with test execution triggered automatically by pipeline events. Test results flow back into the agent ecosystem through the Event Bus, enabling downstream agents to react to test outcomes in real time.</w:t>
      </w:r>
    </w:p>
    <w:p>
      <w:pPr>
        <w:pStyle w:val="Heading2"/>
        <w:spacing w:before="300" w:after="160"/>
      </w:pPr>
      <w:r>
        <w:rPr>
          <w:rFonts w:ascii="Arial" w:cs="Arial" w:eastAsia="Arial" w:hAnsi="Arial"/>
          <w:b/>
          <w:bCs/>
          <w:color w:val="2E75B6"/>
          <w:sz w:val="30"/>
          <w:szCs w:val="30"/>
        </w:rPr>
        <w:t xml:space="preserve">3.8.4 AI-Driven Test Prioritization</w:t>
      </w:r>
    </w:p>
    <w:p>
      <w:pPr>
        <w:spacing w:before="60" w:after="60"/>
        <w:jc w:val="left"/>
      </w:pPr>
      <w:r>
        <w:rPr>
          <w:rFonts w:ascii="Arial" w:cs="Arial" w:eastAsia="Arial" w:hAnsi="Arial"/>
          <w:b w:val="false"/>
          <w:bCs w:val="false"/>
          <w:i w:val="false"/>
          <w:iCs w:val="false"/>
          <w:color w:val="2D2D2D"/>
          <w:sz w:val="22"/>
          <w:szCs w:val="22"/>
        </w:rPr>
        <w:t xml:space="preserve">The Testing and Validation Agent employs AI-driven test prioritization to optimize testing efficiency by focusing execution effort on the tests most likely to detect defects given the current set of changes. The prioritization model considers the code changes in the current iteration and their mapped test coverage, historical defect patterns associated with similar change types, the risk classification of affected components, dependency relationships between changed and unchanged components, and the time since each test was last executed.</w:t>
      </w:r>
    </w:p>
    <w:p>
      <w:pPr>
        <w:spacing w:before="60" w:after="60"/>
        <w:jc w:val="left"/>
      </w:pPr>
      <w:r>
        <w:rPr>
          <w:rFonts w:ascii="Arial" w:cs="Arial" w:eastAsia="Arial" w:hAnsi="Arial"/>
          <w:b w:val="false"/>
          <w:bCs w:val="false"/>
          <w:i w:val="false"/>
          <w:iCs w:val="false"/>
          <w:color w:val="2D2D2D"/>
          <w:sz w:val="22"/>
          <w:szCs w:val="22"/>
        </w:rPr>
        <w:t xml:space="preserve">This intelligent prioritization reduces test execution time for rapid feedback cycles while maintaining comprehensive coverage at validation milestones. The prioritization model is continuously recalibrated based on actual defect detection results, ensuring that its predictions improve over time.</w:t>
      </w:r>
    </w:p>
    <w:p>
      <w:pPr>
        <w:pStyle w:val="Heading2"/>
        <w:spacing w:before="300" w:after="160"/>
      </w:pPr>
      <w:r>
        <w:rPr>
          <w:rFonts w:ascii="Arial" w:cs="Arial" w:eastAsia="Arial" w:hAnsi="Arial"/>
          <w:b/>
          <w:bCs/>
          <w:color w:val="2E75B6"/>
          <w:sz w:val="30"/>
          <w:szCs w:val="30"/>
        </w:rPr>
        <w:t xml:space="preserve">3.8.5 Regression Detection and Impact Analysis</w:t>
      </w:r>
    </w:p>
    <w:p>
      <w:pPr>
        <w:spacing w:before="60" w:after="60"/>
        <w:jc w:val="left"/>
      </w:pPr>
      <w:r>
        <w:rPr>
          <w:rFonts w:ascii="Arial" w:cs="Arial" w:eastAsia="Arial" w:hAnsi="Arial"/>
          <w:b w:val="false"/>
          <w:bCs w:val="false"/>
          <w:i w:val="false"/>
          <w:iCs w:val="false"/>
          <w:color w:val="2D2D2D"/>
          <w:sz w:val="22"/>
          <w:szCs w:val="22"/>
        </w:rPr>
        <w:t xml:space="preserve">The framework includes sophisticated regression detection capabilities that identify unintended behavioral changes across releases. The system maintains behavioral baselines for all system interfaces, performance characteristics, and functional outputs. Changes that cause deviations from established baselines are flagged for investigation, with the impact analysis identifying the specific change that introduced the deviation, the scope of affected functionality, the risk severity based on the deviation magnitude and the affected component’s criticality, and recommended remediation approaches.</w:t>
      </w:r>
    </w:p>
    <w:p>
      <w:pPr>
        <w:spacing w:before="60" w:after="60"/>
        <w:jc w:val="left"/>
      </w:pPr>
      <w:r>
        <w:rPr>
          <w:rFonts w:ascii="Arial" w:cs="Arial" w:eastAsia="Arial" w:hAnsi="Arial"/>
          <w:b w:val="false"/>
          <w:bCs w:val="false"/>
          <w:i w:val="false"/>
          <w:iCs w:val="false"/>
          <w:color w:val="2D2D2D"/>
          <w:sz w:val="22"/>
          <w:szCs w:val="22"/>
        </w:rPr>
        <w:t xml:space="preserve">This regression detection capability is particularly valuable for agentic development, where the volume of code changes generated by agents may exceed the volume traditionally produced by human developers. The automated regression detection ensures that the increased development velocity does not come at the cost of release stability.</w:t>
      </w:r>
    </w:p>
    <w:p>
      <w:r>
        <w:br w:type="page"/>
      </w:r>
    </w:p>
    <w:p>
      <w:pPr>
        <w:pStyle w:val="Heading1"/>
        <w:spacing w:before="360" w:after="200"/>
      </w:pPr>
      <w:r>
        <w:rPr>
          <w:rFonts w:ascii="Arial" w:cs="Arial" w:eastAsia="Arial" w:hAnsi="Arial"/>
          <w:b/>
          <w:bCs/>
          <w:color w:val="1B3A5C"/>
          <w:sz w:val="36"/>
          <w:szCs w:val="36"/>
        </w:rPr>
        <w:t xml:space="preserve">3.9 CI/CD Pipeline Integration</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 CI/CD Pipeline Integration layer connects the agentic development framework with the organization’s continuous integration and continuous deployment infrastructure. This integration ensures that agent-produced artifacts flow through the same quality gates, security scans, and deployment processes as human-produced artifacts, maintaining a unified delivery pipeline regardless of the artifact’s origin.</w:t>
      </w:r>
    </w:p>
    <w:p>
      <w:pPr>
        <w:pStyle w:val="Heading2"/>
        <w:spacing w:before="300" w:after="160"/>
      </w:pPr>
      <w:r>
        <w:rPr>
          <w:rFonts w:ascii="Arial" w:cs="Arial" w:eastAsia="Arial" w:hAnsi="Arial"/>
          <w:b/>
          <w:bCs/>
          <w:color w:val="2E75B6"/>
          <w:sz w:val="30"/>
          <w:szCs w:val="30"/>
        </w:rPr>
        <w:t xml:space="preserve">3.9.1 Agentic Pipeline Orchestration</w:t>
      </w:r>
    </w:p>
    <w:p>
      <w:pPr>
        <w:spacing w:before="60" w:after="60"/>
        <w:jc w:val="left"/>
      </w:pPr>
      <w:r>
        <w:rPr>
          <w:rFonts w:ascii="Arial" w:cs="Arial" w:eastAsia="Arial" w:hAnsi="Arial"/>
          <w:b w:val="false"/>
          <w:bCs w:val="false"/>
          <w:i w:val="false"/>
          <w:iCs w:val="false"/>
          <w:color w:val="2D2D2D"/>
          <w:sz w:val="22"/>
          <w:szCs w:val="22"/>
        </w:rPr>
        <w:t xml:space="preserve">The Deployment and Release Agent manages the CI/CD pipeline orchestration, coordinating the flow of artifacts from development through staging to production. The agent constructs pipeline definitions that include all required quality gates, security scans, compliance checks, and deployment steps appropriate for the initiative’s risk classification. Pipeline definitions are generated as code, maintained in version control, and subject to the same review and approval processes as application code.</w:t>
      </w:r>
    </w:p>
    <w:p>
      <w:pPr>
        <w:spacing w:before="60" w:after="60"/>
        <w:jc w:val="left"/>
      </w:pPr>
      <w:r>
        <w:rPr>
          <w:rFonts w:ascii="Arial" w:cs="Arial" w:eastAsia="Arial" w:hAnsi="Arial"/>
          <w:b w:val="false"/>
          <w:bCs w:val="false"/>
          <w:i w:val="false"/>
          <w:iCs w:val="false"/>
          <w:color w:val="2D2D2D"/>
          <w:sz w:val="22"/>
          <w:szCs w:val="22"/>
        </w:rPr>
        <w:t xml:space="preserve">The agentic pipeline orchestration extends traditional CI/CD with intelligent decision-making at pipeline stages. For example, the agent can dynamically adjust the test execution strategy based on the scope and risk profile of the current change set, route artifacts to additional review steps when confidence scores fall below thresholds, and initiate automated rollback procedures when post-deployment health checks indicate issues.</w:t>
      </w:r>
    </w:p>
    <w:p>
      <w:pPr>
        <w:pStyle w:val="Heading2"/>
        <w:spacing w:before="300" w:after="160"/>
      </w:pPr>
      <w:r>
        <w:rPr>
          <w:rFonts w:ascii="Arial" w:cs="Arial" w:eastAsia="Arial" w:hAnsi="Arial"/>
          <w:b/>
          <w:bCs/>
          <w:color w:val="2E75B6"/>
          <w:sz w:val="30"/>
          <w:szCs w:val="30"/>
        </w:rPr>
        <w:t xml:space="preserve">3.9.2 Environment Provisioning Automation</w:t>
      </w:r>
    </w:p>
    <w:p>
      <w:pPr>
        <w:spacing w:before="60" w:after="60"/>
        <w:jc w:val="left"/>
      </w:pPr>
      <w:r>
        <w:rPr>
          <w:rFonts w:ascii="Arial" w:cs="Arial" w:eastAsia="Arial" w:hAnsi="Arial"/>
          <w:b w:val="false"/>
          <w:bCs w:val="false"/>
          <w:i w:val="false"/>
          <w:iCs w:val="false"/>
          <w:color w:val="2D2D2D"/>
          <w:sz w:val="22"/>
          <w:szCs w:val="22"/>
        </w:rPr>
        <w:t xml:space="preserve">The pipeline includes automated environment provisioning capabilities that ensure consistent, reproducible environments across the development, testing, staging, and production tiers. Environment specifications are defined as infrastructure-as-code templates maintained in the environment catalog, and the Deployment and Release Agent provisions environments on demand as part of the pipeline execution. Environment provisioning includes infrastructure creation and configuration, application deployment and initialization, test data provisioning with appropriate data masking for non-production environments, network configuration and security group management, and monitoring and observability infrastructure deployment.</w:t>
      </w:r>
    </w:p>
    <w:p>
      <w:pPr>
        <w:pStyle w:val="Heading2"/>
        <w:spacing w:before="300" w:after="160"/>
      </w:pPr>
      <w:r>
        <w:rPr>
          <w:rFonts w:ascii="Arial" w:cs="Arial" w:eastAsia="Arial" w:hAnsi="Arial"/>
          <w:b/>
          <w:bCs/>
          <w:color w:val="2E75B6"/>
          <w:sz w:val="30"/>
          <w:szCs w:val="30"/>
        </w:rPr>
        <w:t xml:space="preserve">3.9.3 Progressive Delivery and Feature Flags</w:t>
      </w:r>
    </w:p>
    <w:p>
      <w:pPr>
        <w:spacing w:before="60" w:after="60"/>
        <w:jc w:val="left"/>
      </w:pPr>
      <w:r>
        <w:rPr>
          <w:rFonts w:ascii="Arial" w:cs="Arial" w:eastAsia="Arial" w:hAnsi="Arial"/>
          <w:b w:val="false"/>
          <w:bCs w:val="false"/>
          <w:i w:val="false"/>
          <w:iCs w:val="false"/>
          <w:color w:val="2D2D2D"/>
          <w:sz w:val="22"/>
          <w:szCs w:val="22"/>
        </w:rPr>
        <w:t xml:space="preserve">The pipeline supports progressive delivery strategies that reduce deployment risk by gradually exposing new functionality to increasing percentages of users. The Deployment and Release Agent manages feature flag configurations that control feature visibility, coordinates canary deployments that route a small percentage of traffic to the new version while monitoring for anomalies, orchestrates blue-green deployments that maintain parallel production environments for instant rollback capability, and manages ring-based deployments that progressively expand deployment scope through defined user populations.</w:t>
      </w:r>
    </w:p>
    <w:p>
      <w:pPr>
        <w:spacing w:before="60" w:after="60"/>
        <w:jc w:val="left"/>
      </w:pPr>
      <w:r>
        <w:rPr>
          <w:rFonts w:ascii="Arial" w:cs="Arial" w:eastAsia="Arial" w:hAnsi="Arial"/>
          <w:b w:val="false"/>
          <w:bCs w:val="false"/>
          <w:i w:val="false"/>
          <w:iCs w:val="false"/>
          <w:color w:val="2D2D2D"/>
          <w:sz w:val="22"/>
          <w:szCs w:val="22"/>
        </w:rPr>
        <w:t xml:space="preserve">The Observability and Monitoring Agent provides the real-time health monitoring that underpins progressive delivery decisions, with automated promotion or rollback triggered by defined health metrics thresholds.</w:t>
      </w:r>
    </w:p>
    <w:p>
      <w:pPr>
        <w:pStyle w:val="Heading2"/>
        <w:spacing w:before="300" w:after="160"/>
      </w:pPr>
      <w:r>
        <w:rPr>
          <w:rFonts w:ascii="Arial" w:cs="Arial" w:eastAsia="Arial" w:hAnsi="Arial"/>
          <w:b/>
          <w:bCs/>
          <w:color w:val="2E75B6"/>
          <w:sz w:val="30"/>
          <w:szCs w:val="30"/>
        </w:rPr>
        <w:t xml:space="preserve">3.9.4 Rollback and Recovery Automation</w:t>
      </w:r>
    </w:p>
    <w:p>
      <w:pPr>
        <w:spacing w:before="60" w:after="60"/>
        <w:jc w:val="left"/>
      </w:pPr>
      <w:r>
        <w:rPr>
          <w:rFonts w:ascii="Arial" w:cs="Arial" w:eastAsia="Arial" w:hAnsi="Arial"/>
          <w:b w:val="false"/>
          <w:bCs w:val="false"/>
          <w:i w:val="false"/>
          <w:iCs w:val="false"/>
          <w:color w:val="2D2D2D"/>
          <w:sz w:val="22"/>
          <w:szCs w:val="22"/>
        </w:rPr>
        <w:t xml:space="preserve">The pipeline includes comprehensive rollback and recovery automation that can restore previous versions when deployment issues are detected. The Deployment and Release Agent maintains deployment history and rollback artifacts for all deployed versions, enabling rapid reversion to any prior stable state. Rollback decisions are automated for clearly defined failure conditions such as error rate exceeding thresholds, response time degradation beyond SLA limits, and health check failures, with human notification for awareness and post-incident review. Complex failure scenarios that do not match defined rollback triggers are escalated to human operators with a comprehensive diagnostic package generated by the Observability and Monitoring Agent.</w:t>
      </w:r>
    </w:p>
    <w:p>
      <w:pPr>
        <w:pStyle w:val="Heading2"/>
        <w:spacing w:before="300" w:after="160"/>
      </w:pPr>
      <w:r>
        <w:rPr>
          <w:rFonts w:ascii="Arial" w:cs="Arial" w:eastAsia="Arial" w:hAnsi="Arial"/>
          <w:b/>
          <w:bCs/>
          <w:color w:val="2E75B6"/>
          <w:sz w:val="30"/>
          <w:szCs w:val="30"/>
        </w:rPr>
        <w:t xml:space="preserve">3.9.5 Multi-Environment Promotion Strategy</w:t>
      </w:r>
    </w:p>
    <w:p>
      <w:pPr>
        <w:spacing w:before="60" w:after="60"/>
        <w:jc w:val="left"/>
      </w:pPr>
      <w:r>
        <w:rPr>
          <w:rFonts w:ascii="Arial" w:cs="Arial" w:eastAsia="Arial" w:hAnsi="Arial"/>
          <w:b w:val="false"/>
          <w:bCs w:val="false"/>
          <w:i w:val="false"/>
          <w:iCs w:val="false"/>
          <w:color w:val="2D2D2D"/>
          <w:sz w:val="22"/>
          <w:szCs w:val="22"/>
        </w:rPr>
        <w:t xml:space="preserve">Artifact promotion through the environment pipeline follows a defined strategy that increases validation rigor at each tier. In the development environment, automated unit and integration testing with agent-driven code review provides rapid feedback. In the testing environment, comprehensive test suite execution including performance and security testing validates functional completeness. In the staging environment, production-equivalent validation with production-like data volumes and traffic patterns provides final confidence. In the production environment, progressive deployment with real-time monitoring and automated rollback capability manages deployment risk.</w:t>
      </w:r>
    </w:p>
    <w:p>
      <w:pPr>
        <w:spacing w:before="60" w:after="60"/>
        <w:jc w:val="left"/>
      </w:pPr>
      <w:r>
        <w:rPr>
          <w:rFonts w:ascii="Arial" w:cs="Arial" w:eastAsia="Arial" w:hAnsi="Arial"/>
          <w:b w:val="false"/>
          <w:bCs w:val="false"/>
          <w:i w:val="false"/>
          <w:iCs w:val="false"/>
          <w:color w:val="2D2D2D"/>
          <w:sz w:val="22"/>
          <w:szCs w:val="22"/>
        </w:rPr>
        <w:t xml:space="preserve">Each environment transition is governed by a promotion gate that verifies all required validations have passed, all required approvals have been obtained based on the risk classification, all compliance evidence has been collected and recorded, and all dependent systems have been verified for compatibility. The Deployment and Release Agent manages the promotion process, coordinating with the Security and Compliance Agent to verify gate satisfaction before executing each promotion.</w:t>
      </w:r>
    </w:p>
    <w:p>
      <w:r>
        <w:br w:type="page"/>
      </w:r>
    </w:p>
    <w:p>
      <w:pPr>
        <w:pStyle w:val="Heading1"/>
        <w:spacing w:before="360" w:after="200"/>
      </w:pPr>
      <w:r>
        <w:rPr>
          <w:rFonts w:ascii="Arial" w:cs="Arial" w:eastAsia="Arial" w:hAnsi="Arial"/>
          <w:b/>
          <w:bCs/>
          <w:color w:val="1B3A5C"/>
          <w:sz w:val="36"/>
          <w:szCs w:val="36"/>
        </w:rPr>
        <w:t xml:space="preserve">3.10 Telemetry, Observability, and Feedback Loops</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 Telemetry, Observability, and Feedback Loops architecture establishes the instrumentation, data collection, and analysis infrastructure that enables the agentic system to monitor its own performance, detect issues in deployed applications, and continuously improve through empirical learning. This layer serves a dual purpose: it provides operational visibility into both the agentic system itself and the applications it produces, and it provides the data foundation for the continuous learning mechanisms that drive system improvement over time.</w:t>
      </w:r>
    </w:p>
    <w:p>
      <w:pPr>
        <w:pStyle w:val="Heading2"/>
        <w:spacing w:before="300" w:after="160"/>
      </w:pPr>
      <w:r>
        <w:rPr>
          <w:rFonts w:ascii="Arial" w:cs="Arial" w:eastAsia="Arial" w:hAnsi="Arial"/>
          <w:b/>
          <w:bCs/>
          <w:color w:val="2E75B6"/>
          <w:sz w:val="30"/>
          <w:szCs w:val="30"/>
        </w:rPr>
        <w:t xml:space="preserve">3.10.1 Agent Performance Telemetry</w:t>
      </w:r>
    </w:p>
    <w:p>
      <w:pPr>
        <w:spacing w:before="60" w:after="60"/>
        <w:jc w:val="left"/>
      </w:pPr>
      <w:r>
        <w:rPr>
          <w:rFonts w:ascii="Arial" w:cs="Arial" w:eastAsia="Arial" w:hAnsi="Arial"/>
          <w:b w:val="false"/>
          <w:bCs w:val="false"/>
          <w:i w:val="false"/>
          <w:iCs w:val="false"/>
          <w:color w:val="2D2D2D"/>
          <w:sz w:val="22"/>
          <w:szCs w:val="22"/>
        </w:rPr>
        <w:t xml:space="preserve">Every agent in the system emits standardized telemetry that captures its operational performance, enabling monitoring, optimization, and accountability. Agent telemetry includes execution metrics such as task completion time, resource utilization, and throughput, quality metrics such as output accuracy, rework rate, and confidence scores, compliance metrics such as policy rule evaluation results, violation rates, and remediation success rates, and interaction metrics such as inter-agent communication patterns, dependency wait times, and escalation frequency.</w:t>
      </w:r>
    </w:p>
    <w:p>
      <w:pPr>
        <w:spacing w:before="60" w:after="60"/>
        <w:jc w:val="left"/>
      </w:pPr>
      <w:r>
        <w:rPr>
          <w:rFonts w:ascii="Arial" w:cs="Arial" w:eastAsia="Arial" w:hAnsi="Arial"/>
          <w:b w:val="false"/>
          <w:bCs w:val="false"/>
          <w:i w:val="false"/>
          <w:iCs w:val="false"/>
          <w:color w:val="2D2D2D"/>
          <w:sz w:val="22"/>
          <w:szCs w:val="22"/>
        </w:rPr>
        <w:t xml:space="preserve">Agent telemetry is collected through a standardized telemetry SDK that is embedded in every agent’s runtime environment. The telemetry data flows through the observability pipeline where it is aggregated, analyzed, and stored for operational monitoring, performance optimization, and audit purposes.</w:t>
      </w:r>
    </w:p>
    <w:p>
      <w:pPr>
        <w:pStyle w:val="Heading2"/>
        <w:spacing w:before="300" w:after="160"/>
      </w:pPr>
      <w:r>
        <w:rPr>
          <w:rFonts w:ascii="Arial" w:cs="Arial" w:eastAsia="Arial" w:hAnsi="Arial"/>
          <w:b/>
          <w:bCs/>
          <w:color w:val="2E75B6"/>
          <w:sz w:val="30"/>
          <w:szCs w:val="30"/>
        </w:rPr>
        <w:t xml:space="preserve">3.10.2 Application Observability Standards</w:t>
      </w:r>
    </w:p>
    <w:p>
      <w:pPr>
        <w:spacing w:before="60" w:after="60"/>
        <w:jc w:val="left"/>
      </w:pPr>
      <w:r>
        <w:rPr>
          <w:rFonts w:ascii="Arial" w:cs="Arial" w:eastAsia="Arial" w:hAnsi="Arial"/>
          <w:b w:val="false"/>
          <w:bCs w:val="false"/>
          <w:i w:val="false"/>
          <w:iCs w:val="false"/>
          <w:color w:val="2D2D2D"/>
          <w:sz w:val="22"/>
          <w:szCs w:val="22"/>
        </w:rPr>
        <w:t xml:space="preserve">The Observability and Monitoring Agent establishes and enforces observability standards for all applications produced through the agentic SDLC. These standards define the minimum telemetry that every application must emit, including distributed tracing with standardized span naming and attribute conventions, structured logging with required fields for correlation, classification, and audit, metric emission covering service-level indicators such as request rate, error rate, and latency, health check endpoints that expose component and dependency health status, and business event emission that captures domain-relevant events for business analytics and compliance monitoring.</w:t>
      </w:r>
    </w:p>
    <w:p>
      <w:pPr>
        <w:spacing w:before="60" w:after="60"/>
        <w:jc w:val="left"/>
      </w:pPr>
      <w:r>
        <w:rPr>
          <w:rFonts w:ascii="Arial" w:cs="Arial" w:eastAsia="Arial" w:hAnsi="Arial"/>
          <w:b w:val="false"/>
          <w:bCs w:val="false"/>
          <w:i w:val="false"/>
          <w:iCs w:val="false"/>
          <w:color w:val="2D2D2D"/>
          <w:sz w:val="22"/>
          <w:szCs w:val="22"/>
        </w:rPr>
        <w:t xml:space="preserve">The Code Generation Agent is configured to include observability instrumentation as a standard part of all generated code, ensuring that applications are born observable rather than requiring post-hoc instrumentation. The observability standards are included in the compliance envelope, meaning that code that does not meet observability requirements will fail compliance validation gates.</w:t>
      </w:r>
    </w:p>
    <w:p>
      <w:pPr>
        <w:pStyle w:val="Heading2"/>
        <w:spacing w:before="300" w:after="160"/>
      </w:pPr>
      <w:r>
        <w:rPr>
          <w:rFonts w:ascii="Arial" w:cs="Arial" w:eastAsia="Arial" w:hAnsi="Arial"/>
          <w:b/>
          <w:bCs/>
          <w:color w:val="2E75B6"/>
          <w:sz w:val="30"/>
          <w:szCs w:val="30"/>
        </w:rPr>
        <w:t xml:space="preserve">3.10.3 TPRM-Driven Observability Requirements</w:t>
      </w:r>
    </w:p>
    <w:p>
      <w:pPr>
        <w:spacing w:before="60" w:after="60"/>
        <w:jc w:val="left"/>
      </w:pPr>
      <w:r>
        <w:rPr>
          <w:rFonts w:ascii="Arial" w:cs="Arial" w:eastAsia="Arial" w:hAnsi="Arial"/>
          <w:b w:val="false"/>
          <w:bCs w:val="false"/>
          <w:i w:val="false"/>
          <w:iCs w:val="false"/>
          <w:color w:val="2D2D2D"/>
          <w:sz w:val="22"/>
          <w:szCs w:val="22"/>
        </w:rPr>
        <w:t xml:space="preserve">A distinctive feature of this architecture is the bidirectional integration between the TPRM vendor evaluation process and the development-side observability implementation. When vendor evaluation swarms assess a third-party technology, they identify the monitoring and observability capabilities that must be established for the integration. These requirements flow into the development process as observability specifications that the Observability and Monitoring Agent ensures are implemented.</w:t>
      </w:r>
    </w:p>
    <w:p>
      <w:pPr>
        <w:spacing w:before="60" w:after="60"/>
        <w:jc w:val="left"/>
      </w:pPr>
      <w:r>
        <w:rPr>
          <w:rFonts w:ascii="Arial" w:cs="Arial" w:eastAsia="Arial" w:hAnsi="Arial"/>
          <w:b w:val="false"/>
          <w:bCs w:val="false"/>
          <w:i w:val="false"/>
          <w:iCs w:val="false"/>
          <w:color w:val="2D2D2D"/>
          <w:sz w:val="22"/>
          <w:szCs w:val="22"/>
        </w:rPr>
        <w:t xml:space="preserve">This integration ensures that the organization’s ability to monitor third-party technology behavior is not left to chance but is established as a concrete requirement during vendor evaluation and tracked through implementation verification. The observability requirements cover the vendor API health monitoring and SLA tracking, data exchange monitoring including volume, latency, and error patterns, security event monitoring for the integration boundary, compliance-relevant event monitoring such as data access, modification, and deletion activities, and performance degradation detection for the third-party dependency.</w:t>
      </w:r>
    </w:p>
    <w:p>
      <w:pPr>
        <w:pStyle w:val="Heading2"/>
        <w:spacing w:before="300" w:after="160"/>
      </w:pPr>
      <w:r>
        <w:rPr>
          <w:rFonts w:ascii="Arial" w:cs="Arial" w:eastAsia="Arial" w:hAnsi="Arial"/>
          <w:b/>
          <w:bCs/>
          <w:color w:val="2E75B6"/>
          <w:sz w:val="30"/>
          <w:szCs w:val="30"/>
        </w:rPr>
        <w:t xml:space="preserve">3.10.4 Feedback Loop Architecture</w:t>
      </w:r>
    </w:p>
    <w:p>
      <w:pPr>
        <w:spacing w:before="60" w:after="60"/>
        <w:jc w:val="left"/>
      </w:pPr>
      <w:r>
        <w:rPr>
          <w:rFonts w:ascii="Arial" w:cs="Arial" w:eastAsia="Arial" w:hAnsi="Arial"/>
          <w:b w:val="false"/>
          <w:bCs w:val="false"/>
          <w:i w:val="false"/>
          <w:iCs w:val="false"/>
          <w:color w:val="2D2D2D"/>
          <w:sz w:val="22"/>
          <w:szCs w:val="22"/>
        </w:rPr>
        <w:t xml:space="preserve">The architecture implements multiple feedback loops that enable continuous system improvement at different timescales and scopes.</w:t>
      </w:r>
    </w:p>
    <w:p>
      <w:pPr>
        <w:spacing w:before="60" w:after="60"/>
        <w:jc w:val="left"/>
      </w:pPr>
      <w:r>
        <w:rPr>
          <w:rFonts w:ascii="Arial" w:cs="Arial" w:eastAsia="Arial" w:hAnsi="Arial"/>
          <w:b w:val="false"/>
          <w:bCs w:val="false"/>
          <w:i w:val="false"/>
          <w:iCs w:val="false"/>
          <w:color w:val="2D2D2D"/>
          <w:sz w:val="22"/>
          <w:szCs w:val="22"/>
        </w:rPr>
        <w:t xml:space="preserve">The immediate feedback loop operates within the current sprint, providing real-time quality signals that agents use to refine their outputs within the current task. For example, when the Code Review Agent identifies an issue, the Code Generation Agent uses the feedback to generate an improved version immediately. The sprint feedback loop operates at sprint boundaries, using aggregated sprint data to adjust agent configurations, workflow sequences, and estimation models for the next sprint. The release feedback loop operates at release boundaries, incorporating production performance data, incident analysis, and user feedback to identify systemic improvements. The strategic feedback loop operates quarterly, analyzing trends across all initiatives to identify capability gaps, process optimization opportunities, and technology investment priorities.</w:t>
      </w:r>
    </w:p>
    <w:p>
      <w:pPr>
        <w:spacing w:before="60" w:after="60"/>
        <w:jc w:val="left"/>
      </w:pPr>
      <w:r>
        <w:rPr>
          <w:rFonts w:ascii="Arial" w:cs="Arial" w:eastAsia="Arial" w:hAnsi="Arial"/>
          <w:b w:val="false"/>
          <w:bCs w:val="false"/>
          <w:i w:val="false"/>
          <w:iCs w:val="false"/>
          <w:color w:val="2D2D2D"/>
          <w:sz w:val="22"/>
          <w:szCs w:val="22"/>
        </w:rPr>
        <w:t xml:space="preserve">Each feedback loop is instrumented with metrics that measure its effectiveness, including the cycle time from signal detection to improvement implementation, the measurable impact of improvements driven by each loop, and the accuracy of the system’s predictions before and after feedback-driven adjustments.</w:t>
      </w:r>
    </w:p>
    <w:p>
      <w:pPr>
        <w:pStyle w:val="Heading2"/>
        <w:spacing w:before="300" w:after="160"/>
      </w:pPr>
      <w:r>
        <w:rPr>
          <w:rFonts w:ascii="Arial" w:cs="Arial" w:eastAsia="Arial" w:hAnsi="Arial"/>
          <w:b/>
          <w:bCs/>
          <w:color w:val="2E75B6"/>
          <w:sz w:val="30"/>
          <w:szCs w:val="30"/>
        </w:rPr>
        <w:t xml:space="preserve">3.10.5 Continuous Learning and Model Improvement</w:t>
      </w:r>
    </w:p>
    <w:p>
      <w:pPr>
        <w:spacing w:before="60" w:after="60"/>
        <w:jc w:val="left"/>
      </w:pPr>
      <w:r>
        <w:rPr>
          <w:rFonts w:ascii="Arial" w:cs="Arial" w:eastAsia="Arial" w:hAnsi="Arial"/>
          <w:b w:val="false"/>
          <w:bCs w:val="false"/>
          <w:i w:val="false"/>
          <w:iCs w:val="false"/>
          <w:color w:val="2D2D2D"/>
          <w:sz w:val="22"/>
          <w:szCs w:val="22"/>
        </w:rPr>
        <w:t xml:space="preserve">The continuous learning subsystem captures the outcomes of agent activities and uses them to improve agent performance over time. Learning mechanisms include prompt refinement based on analysis of high-quality and low-quality outputs, identifying prompt characteristics that correlate with better outcomes. Pattern library expansion captures successful implementation patterns that emerged from agent-generated code and promotes them to the reusable pattern library. Estimation model recalibration updates effort estimation models based on actual completion data, improving prediction accuracy over time. Test strategy optimization refines test generation and prioritization strategies based on defect detection effectiveness data. Risk model refinement updates risk assessment models based on actual risk materialization data, improving the accuracy of risk classifications.</w:t>
      </w:r>
    </w:p>
    <w:p>
      <w:pPr>
        <w:spacing w:before="60" w:after="60"/>
        <w:jc w:val="left"/>
      </w:pPr>
      <w:r>
        <w:rPr>
          <w:rFonts w:ascii="Arial" w:cs="Arial" w:eastAsia="Arial" w:hAnsi="Arial"/>
          <w:b w:val="false"/>
          <w:bCs w:val="false"/>
          <w:i w:val="false"/>
          <w:iCs w:val="false"/>
          <w:color w:val="2D2D2D"/>
          <w:sz w:val="22"/>
          <w:szCs w:val="22"/>
        </w:rPr>
        <w:t xml:space="preserve">All learning activities are subject to the governance controls defined by the architecture, ensuring that model updates are reviewed, validated, and approved before deployment. This prevents the system from learning undesirable patterns and ensures that improvements are aligned with organizational objectives and compliance requirements.</w:t>
      </w:r>
    </w:p>
    <w:p>
      <w:r>
        <w:br w:type="page"/>
      </w:r>
    </w:p>
    <w:p>
      <w:pPr>
        <w:pStyle w:val="Heading1"/>
        <w:spacing w:before="360" w:after="200"/>
      </w:pPr>
      <w:r>
        <w:rPr>
          <w:rFonts w:ascii="Arial" w:cs="Arial" w:eastAsia="Arial" w:hAnsi="Arial"/>
          <w:b/>
          <w:bCs/>
          <w:color w:val="1B3A5C"/>
          <w:sz w:val="36"/>
          <w:szCs w:val="36"/>
        </w:rPr>
        <w:t xml:space="preserve">3.11 Human-in-the-Loop Controls and Guardrails</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 Human-in-the-Loop Controls and Guardrails framework defines the mechanisms through which human oversight is maintained over the agentic SDLC system. While the architecture is designed to maximize automation and agent autonomy, it recognizes that human judgment remains essential for decisions with significant organizational impact, novel situations that fall outside agent training data, ethical considerations that require human values assessment, and escalation scenarios where agent confidence is insufficient.</w:t>
      </w:r>
    </w:p>
    <w:p>
      <w:pPr>
        <w:pStyle w:val="Heading2"/>
        <w:spacing w:before="300" w:after="160"/>
      </w:pPr>
      <w:r>
        <w:rPr>
          <w:rFonts w:ascii="Arial" w:cs="Arial" w:eastAsia="Arial" w:hAnsi="Arial"/>
          <w:b/>
          <w:bCs/>
          <w:color w:val="2E75B6"/>
          <w:sz w:val="30"/>
          <w:szCs w:val="30"/>
        </w:rPr>
        <w:t xml:space="preserve">3.11.1 Approval Gates by Risk Classification</w:t>
      </w:r>
    </w:p>
    <w:p>
      <w:pPr>
        <w:spacing w:before="60" w:after="60"/>
        <w:jc w:val="left"/>
      </w:pPr>
      <w:r>
        <w:rPr>
          <w:rFonts w:ascii="Arial" w:cs="Arial" w:eastAsia="Arial" w:hAnsi="Arial"/>
          <w:b w:val="false"/>
          <w:bCs w:val="false"/>
          <w:i w:val="false"/>
          <w:iCs w:val="false"/>
          <w:color w:val="2D2D2D"/>
          <w:sz w:val="22"/>
          <w:szCs w:val="22"/>
        </w:rPr>
        <w:t xml:space="preserve">The approval gate structure is calibrated to the initiative’s risk classification, with higher-risk initiatives requiring more frequent and more rigorous human approval. Gate definitions specify the approval authority level required at each gate, the artifacts and evidence that must be presented for review, the maximum time allowed for approval before escalation, and the alternative paths when approval is denied or deferred.</w:t>
      </w:r>
    </w:p>
    <w:p>
      <w:pPr>
        <w:spacing w:before="60" w:after="60"/>
        <w:jc w:val="left"/>
      </w:pPr>
      <w:r>
        <w:rPr>
          <w:rFonts w:ascii="Arial" w:cs="Arial" w:eastAsia="Arial" w:hAnsi="Arial"/>
          <w:b w:val="false"/>
          <w:bCs w:val="false"/>
          <w:i w:val="false"/>
          <w:iCs w:val="false"/>
          <w:color w:val="2D2D2D"/>
          <w:sz w:val="22"/>
          <w:szCs w:val="22"/>
        </w:rPr>
        <w:t xml:space="preserve">Approval gates are instrumented with telemetry that tracks approval cycle time, rejection rates, and common rejection reasons. This data feeds into the continuous improvement process, enabling the organization to identify and address recurring issues that cause approval delays.</w:t>
      </w:r>
    </w:p>
    <w:p>
      <w:pPr>
        <w:pStyle w:val="Heading2"/>
        <w:spacing w:before="300" w:after="160"/>
      </w:pPr>
      <w:r>
        <w:rPr>
          <w:rFonts w:ascii="Arial" w:cs="Arial" w:eastAsia="Arial" w:hAnsi="Arial"/>
          <w:b/>
          <w:bCs/>
          <w:color w:val="2E75B6"/>
          <w:sz w:val="30"/>
          <w:szCs w:val="30"/>
        </w:rPr>
        <w:t xml:space="preserve">3.11.2 Escalation Pathways</w:t>
      </w:r>
    </w:p>
    <w:p>
      <w:pPr>
        <w:spacing w:before="60" w:after="60"/>
        <w:jc w:val="left"/>
      </w:pPr>
      <w:r>
        <w:rPr>
          <w:rFonts w:ascii="Arial" w:cs="Arial" w:eastAsia="Arial" w:hAnsi="Arial"/>
          <w:b w:val="false"/>
          <w:bCs w:val="false"/>
          <w:i w:val="false"/>
          <w:iCs w:val="false"/>
          <w:color w:val="2D2D2D"/>
          <w:sz w:val="22"/>
          <w:szCs w:val="22"/>
        </w:rPr>
        <w:t xml:space="preserve">The escalation framework defines structured pathways for routing decisions from agents to human decision-makers when agent capabilities are insufficient. Escalation triggers include confidence threshold breaches where the agent’s confidence in its output falls below the defined minimum for the risk classification, novel scenario detection where the agent encounters a situation not represented in its training data or pattern library, conflicting requirements where multiple valid interpretations exist and human judgment is needed to determine the correct resolution, resource constraint escalation where the agent determines that the task cannot be completed within the defined time or resource budget, and ethical judgment requirements where the agent identifies that the decision involves value trade-offs that require human deliberation.</w:t>
      </w:r>
    </w:p>
    <w:p>
      <w:pPr>
        <w:spacing w:before="60" w:after="60"/>
        <w:jc w:val="left"/>
      </w:pPr>
      <w:r>
        <w:rPr>
          <w:rFonts w:ascii="Arial" w:cs="Arial" w:eastAsia="Arial" w:hAnsi="Arial"/>
          <w:b w:val="false"/>
          <w:bCs w:val="false"/>
          <w:i w:val="false"/>
          <w:iCs w:val="false"/>
          <w:color w:val="2D2D2D"/>
          <w:sz w:val="22"/>
          <w:szCs w:val="22"/>
        </w:rPr>
        <w:t xml:space="preserve">Each escalation pathway includes a defined escalation recipient based on the decision domain and organizational authority matrix, context packaging that assembles the relevant information the human decision-maker needs, decision capture that records the human’s decision and rationale for audit trail and learning purposes, and resolution routing that conveys the human decision back to the agent for implementation.</w:t>
      </w:r>
    </w:p>
    <w:p>
      <w:pPr>
        <w:pStyle w:val="Heading2"/>
        <w:spacing w:before="300" w:after="160"/>
      </w:pPr>
      <w:r>
        <w:rPr>
          <w:rFonts w:ascii="Arial" w:cs="Arial" w:eastAsia="Arial" w:hAnsi="Arial"/>
          <w:b/>
          <w:bCs/>
          <w:color w:val="2E75B6"/>
          <w:sz w:val="30"/>
          <w:szCs w:val="30"/>
        </w:rPr>
        <w:t xml:space="preserve">3.11.3 Override and Manual Intervention Protocols</w:t>
      </w:r>
    </w:p>
    <w:p>
      <w:pPr>
        <w:spacing w:before="60" w:after="60"/>
        <w:jc w:val="left"/>
      </w:pPr>
      <w:r>
        <w:rPr>
          <w:rFonts w:ascii="Arial" w:cs="Arial" w:eastAsia="Arial" w:hAnsi="Arial"/>
          <w:b w:val="false"/>
          <w:bCs w:val="false"/>
          <w:i w:val="false"/>
          <w:iCs w:val="false"/>
          <w:color w:val="2D2D2D"/>
          <w:sz w:val="22"/>
          <w:szCs w:val="22"/>
        </w:rPr>
        <w:t xml:space="preserve">Human operators can override agent decisions or assume manual control of any process step through defined intervention protocols. Override authority is granted based on organizational role and the risk classification of the initiative. All overrides are logged with full context including the original agent recommendation, the human’s override decision and rationale, and the outcome of the override. Override patterns are analyzed to identify systematic issues, such as agents consistently making incorrect recommendations in specific domains, which triggers investigation and potential model refinement.</w:t>
      </w:r>
    </w:p>
    <w:p>
      <w:pPr>
        <w:pStyle w:val="Heading2"/>
        <w:spacing w:before="300" w:after="160"/>
      </w:pPr>
      <w:r>
        <w:rPr>
          <w:rFonts w:ascii="Arial" w:cs="Arial" w:eastAsia="Arial" w:hAnsi="Arial"/>
          <w:b/>
          <w:bCs/>
          <w:color w:val="2E75B6"/>
          <w:sz w:val="30"/>
          <w:szCs w:val="30"/>
        </w:rPr>
        <w:t xml:space="preserve">3.11.4 Agent Confidence Thresholds</w:t>
      </w:r>
    </w:p>
    <w:p>
      <w:pPr>
        <w:spacing w:before="60" w:after="60"/>
        <w:jc w:val="left"/>
      </w:pPr>
      <w:r>
        <w:rPr>
          <w:rFonts w:ascii="Arial" w:cs="Arial" w:eastAsia="Arial" w:hAnsi="Arial"/>
          <w:b w:val="false"/>
          <w:bCs w:val="false"/>
          <w:i w:val="false"/>
          <w:iCs w:val="false"/>
          <w:color w:val="2D2D2D"/>
          <w:sz w:val="22"/>
          <w:szCs w:val="22"/>
        </w:rPr>
        <w:t xml:space="preserve">Every agent output includes a confidence score that reflects the agent’s self-assessed certainty in the quality and correctness of its output. Confidence thresholds are defined by risk classification tier, with higher-risk initiatives requiring higher confidence levels for autonomous progression. When an agent’s confidence falls below the threshold for the current risk classification, the output is routed through the human review pathway rather than progressing autonomously. The confidence scoring model is calibrated using historical data that correlates agent-reported confidence with actual output quality, ensuring that the confidence scores are well-calibrated and meaningful. Miscalibrated confidence scores, where agents report high confidence on outputs that prove to be low quality, are treated as critical quality issues that require immediate investigation and remediation.</w:t>
      </w:r>
    </w:p>
    <w:p>
      <w:pPr>
        <w:pStyle w:val="Heading2"/>
        <w:spacing w:before="300" w:after="160"/>
      </w:pPr>
      <w:r>
        <w:rPr>
          <w:rFonts w:ascii="Arial" w:cs="Arial" w:eastAsia="Arial" w:hAnsi="Arial"/>
          <w:b/>
          <w:bCs/>
          <w:color w:val="2E75B6"/>
          <w:sz w:val="30"/>
          <w:szCs w:val="30"/>
        </w:rPr>
        <w:t xml:space="preserve">3.11.5 Ethics Review Integration</w:t>
      </w:r>
    </w:p>
    <w:p>
      <w:pPr>
        <w:spacing w:before="60" w:after="60"/>
        <w:jc w:val="left"/>
      </w:pPr>
      <w:r>
        <w:rPr>
          <w:rFonts w:ascii="Arial" w:cs="Arial" w:eastAsia="Arial" w:hAnsi="Arial"/>
          <w:b w:val="false"/>
          <w:bCs w:val="false"/>
          <w:i w:val="false"/>
          <w:iCs w:val="false"/>
          <w:color w:val="2D2D2D"/>
          <w:sz w:val="22"/>
          <w:szCs w:val="22"/>
        </w:rPr>
        <w:t xml:space="preserve">For initiatives that involve AI models, algorithmic decision-making, or sensitive data processing, the architecture includes an ethics review integration point that connects the development workflow to the organization’s AI ethics review process. The Security and Compliance Agent identifies initiatives that require ethics review based on the initiative’s characteristics and the organization’s ethics review criteria. When ethics review is triggered, the agent prepares an ethics review package that includes the initiative’s purpose and intended use, the data inputs and their provenance, the algorithmic approach and its potential for bias or discrimination, the affected populations and potential impact, and the proposed safeguards and monitoring controls. The ethics review is conducted by the organization’s ethics review board, with results recorded and tracked as compliance requirements that must be satisfied before the initiative can proceed to deployment.</w:t>
      </w:r>
    </w:p>
    <w:p>
      <w:r>
        <w:br w:type="page"/>
      </w:r>
    </w:p>
    <w:p>
      <w:pPr>
        <w:pStyle w:val="Heading1"/>
        <w:spacing w:before="360" w:after="200"/>
      </w:pPr>
      <w:r>
        <w:rPr>
          <w:rFonts w:ascii="Arial" w:cs="Arial" w:eastAsia="Arial" w:hAnsi="Arial"/>
          <w:b/>
          <w:bCs/>
          <w:color w:val="1B3A5C"/>
          <w:sz w:val="36"/>
          <w:szCs w:val="36"/>
        </w:rPr>
        <w:t xml:space="preserve">3.12 Cycle Time Acceleration Targets for Agentic SDLC</w:t>
      </w:r>
    </w:p>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 following cycle time targets establish the expected acceleration impact of the Agentic SDLC Architecture across key development activities. These targets represent the progression from traditional manual processes through incremental automation to full agentic operation, and serve as benchmarks for measuring the architecture’s effectiveness in delivering the acceleration benefits that justify its implementation.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1800"/>
        <w:gridCol w:w="2060"/>
      </w:tblGrid>
      <w:tr>
        <w:tc>
          <w:tcPr>
            <w:tcW w:type="dxa" w:w="22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Development Activity</w:t>
            </w:r>
          </w:p>
        </w:tc>
        <w:tc>
          <w:tcPr>
            <w:tcW w:type="dxa" w:w="15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Traditional Duration</w:t>
            </w:r>
          </w:p>
        </w:tc>
        <w:tc>
          <w:tcPr>
            <w:tcW w:type="dxa" w:w="1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Partial Automation</w:t>
            </w:r>
          </w:p>
        </w:tc>
        <w:tc>
          <w:tcPr>
            <w:tcW w:type="dxa" w:w="1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Full Agentic</w:t>
            </w:r>
          </w:p>
        </w:tc>
        <w:tc>
          <w:tcPr>
            <w:tcW w:type="dxa" w:w="206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Reduction Target</w:t>
            </w:r>
          </w:p>
        </w:tc>
      </w:tr>
      <w:tr>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Requirements Analysis &amp; Decomposition</w:t>
            </w:r>
          </w:p>
        </w:tc>
        <w:tc>
          <w:tcPr>
            <w:tcW w:type="dxa" w:w="15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2–4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1–2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2–5 days</w:t>
            </w:r>
          </w:p>
        </w:tc>
        <w:tc>
          <w:tcPr>
            <w:tcW w:type="dxa" w:w="20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70–85%</w:t>
            </w:r>
          </w:p>
        </w:tc>
      </w:tr>
      <w:tr>
        <w:tc>
          <w:tcPr>
            <w:tcW w:type="dxa" w:w="22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Architecture Design &amp; Review</w:t>
            </w:r>
          </w:p>
        </w:tc>
        <w:tc>
          <w:tcPr>
            <w:tcW w:type="dxa" w:w="15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2–3 weeks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1–2 weeks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3–5 days</w:t>
            </w:r>
          </w:p>
        </w:tc>
        <w:tc>
          <w:tcPr>
            <w:tcW w:type="dxa" w:w="20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65–80%</w:t>
            </w:r>
          </w:p>
        </w:tc>
      </w:tr>
      <w:tr>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Code Generation (per component)</w:t>
            </w:r>
          </w:p>
        </w:tc>
        <w:tc>
          <w:tcPr>
            <w:tcW w:type="dxa" w:w="15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1–4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3–5 days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4–24 hours</w:t>
            </w:r>
          </w:p>
        </w:tc>
        <w:tc>
          <w:tcPr>
            <w:tcW w:type="dxa" w:w="20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80–90%</w:t>
            </w:r>
          </w:p>
        </w:tc>
      </w:tr>
      <w:tr>
        <w:tc>
          <w:tcPr>
            <w:tcW w:type="dxa" w:w="22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Code Review &amp; Quality Validation</w:t>
            </w:r>
          </w:p>
        </w:tc>
        <w:tc>
          <w:tcPr>
            <w:tcW w:type="dxa" w:w="15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2–5 days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1–2 days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1–4 hours</w:t>
            </w:r>
          </w:p>
        </w:tc>
        <w:tc>
          <w:tcPr>
            <w:tcW w:type="dxa" w:w="20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85–95%</w:t>
            </w:r>
          </w:p>
        </w:tc>
      </w:tr>
      <w:tr>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Test Case Generation</w:t>
            </w:r>
          </w:p>
        </w:tc>
        <w:tc>
          <w:tcPr>
            <w:tcW w:type="dxa" w:w="15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1–2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2–4 days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4–8 hours</w:t>
            </w:r>
          </w:p>
        </w:tc>
        <w:tc>
          <w:tcPr>
            <w:tcW w:type="dxa" w:w="20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80–90%</w:t>
            </w:r>
          </w:p>
        </w:tc>
      </w:tr>
      <w:tr>
        <w:tc>
          <w:tcPr>
            <w:tcW w:type="dxa" w:w="22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Test Execution (full suite)</w:t>
            </w:r>
          </w:p>
        </w:tc>
        <w:tc>
          <w:tcPr>
            <w:tcW w:type="dxa" w:w="15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1–3 days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4–8 hours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1–2 hours</w:t>
            </w:r>
          </w:p>
        </w:tc>
        <w:tc>
          <w:tcPr>
            <w:tcW w:type="dxa" w:w="20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75–85%</w:t>
            </w:r>
          </w:p>
        </w:tc>
      </w:tr>
      <w:tr>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Security Scanning &amp; Assessment</w:t>
            </w:r>
          </w:p>
        </w:tc>
        <w:tc>
          <w:tcPr>
            <w:tcW w:type="dxa" w:w="15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1–2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2–3 days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2–8 hours</w:t>
            </w:r>
          </w:p>
        </w:tc>
        <w:tc>
          <w:tcPr>
            <w:tcW w:type="dxa" w:w="20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80–90%</w:t>
            </w:r>
          </w:p>
        </w:tc>
      </w:tr>
      <w:tr>
        <w:tc>
          <w:tcPr>
            <w:tcW w:type="dxa" w:w="22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Compliance Validation</w:t>
            </w:r>
          </w:p>
        </w:tc>
        <w:tc>
          <w:tcPr>
            <w:tcW w:type="dxa" w:w="15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1–3 weeks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3–5 days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4–12 hours</w:t>
            </w:r>
          </w:p>
        </w:tc>
        <w:tc>
          <w:tcPr>
            <w:tcW w:type="dxa" w:w="20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80–90%</w:t>
            </w:r>
          </w:p>
        </w:tc>
      </w:tr>
      <w:tr>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Documentation Generation</w:t>
            </w:r>
          </w:p>
        </w:tc>
        <w:tc>
          <w:tcPr>
            <w:tcW w:type="dxa" w:w="15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1–2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2–4 days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2–8 hours</w:t>
            </w:r>
          </w:p>
        </w:tc>
        <w:tc>
          <w:tcPr>
            <w:tcW w:type="dxa" w:w="20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80–90%</w:t>
            </w:r>
          </w:p>
        </w:tc>
      </w:tr>
      <w:tr>
        <w:tc>
          <w:tcPr>
            <w:tcW w:type="dxa" w:w="22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Deployment &amp; Release</w:t>
            </w:r>
          </w:p>
        </w:tc>
        <w:tc>
          <w:tcPr>
            <w:tcW w:type="dxa" w:w="15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1–3 days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4–8 hours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30–90 min</w:t>
            </w:r>
          </w:p>
        </w:tc>
        <w:tc>
          <w:tcPr>
            <w:tcW w:type="dxa" w:w="20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85–95%</w:t>
            </w:r>
          </w:p>
        </w:tc>
      </w:tr>
      <w:tr>
        <w:tc>
          <w:tcPr>
            <w:tcW w:type="dxa" w:w="22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Vendor Tech Evaluation (TPRM)</w:t>
            </w:r>
          </w:p>
        </w:tc>
        <w:tc>
          <w:tcPr>
            <w:tcW w:type="dxa" w:w="15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4–8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2–3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3–7 days</w:t>
            </w:r>
          </w:p>
        </w:tc>
        <w:tc>
          <w:tcPr>
            <w:tcW w:type="dxa" w:w="206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70–80%</w:t>
            </w:r>
          </w:p>
        </w:tc>
      </w:tr>
      <w:tr>
        <w:tc>
          <w:tcPr>
            <w:tcW w:type="dxa" w:w="22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Sprint Planning</w:t>
            </w:r>
          </w:p>
        </w:tc>
        <w:tc>
          <w:tcPr>
            <w:tcW w:type="dxa" w:w="15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4–8 hours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2–4 hours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30–60 min</w:t>
            </w:r>
          </w:p>
        </w:tc>
        <w:tc>
          <w:tcPr>
            <w:tcW w:type="dxa" w:w="206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75–85%</w:t>
            </w:r>
          </w:p>
        </w:tc>
      </w:tr>
    </w:tbl>
    <w:p>
      <w:pPr>
        <w:spacing w:before="120" w:after="120"/>
      </w:pPr>
    </w:p>
    <w:p>
      <w:pPr>
        <w:spacing w:before="60" w:after="60"/>
        <w:jc w:val="left"/>
      </w:pPr>
      <w:r>
        <w:rPr>
          <w:rFonts w:ascii="Arial" w:cs="Arial" w:eastAsia="Arial" w:hAnsi="Arial"/>
          <w:b w:val="false"/>
          <w:bCs w:val="false"/>
          <w:i w:val="false"/>
          <w:iCs w:val="false"/>
          <w:color w:val="2D2D2D"/>
          <w:sz w:val="22"/>
          <w:szCs w:val="22"/>
        </w:rPr>
        <w:t xml:space="preserve">These targets assume full implementation of the agentic architecture described in this section, including multi-agent orchestration, compliance-driven development integration, and continuous feedback loops. Actual acceleration will vary by initiative complexity, risk classification, and the maturity of the agentic system’s learning models. The targets are reviewed quarterly and adjusted based on empirical performance data.</w:t>
      </w:r>
    </w:p>
    <w:p>
      <w:pPr>
        <w:spacing w:before="120" w:after="120"/>
      </w:pPr>
    </w:p>
    <w:p>
      <w:pPr>
        <w:spacing w:before="60" w:after="60"/>
        <w:jc w:val="left"/>
      </w:pPr>
      <w:r>
        <w:rPr>
          <w:rFonts w:ascii="Arial" w:cs="Arial" w:eastAsia="Arial" w:hAnsi="Arial"/>
          <w:b/>
          <w:bCs/>
          <w:i w:val="false"/>
          <w:iCs w:val="false"/>
          <w:color w:val="1B3A5C"/>
          <w:sz w:val="24"/>
          <w:szCs w:val="24"/>
        </w:rPr>
        <w:t xml:space="preserve">End-to-End Lifecycle Acceleration Summary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620"/>
      </w:tblGrid>
      <w:tr>
        <w:tc>
          <w:tcPr>
            <w:tcW w:type="dxa" w:w="234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Lifecycle Path</w:t>
            </w:r>
          </w:p>
        </w:tc>
        <w:tc>
          <w:tcPr>
            <w:tcW w:type="dxa" w:w="1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Traditional</w:t>
            </w:r>
          </w:p>
        </w:tc>
        <w:tc>
          <w:tcPr>
            <w:tcW w:type="dxa" w:w="1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Partial Automation</w:t>
            </w:r>
          </w:p>
        </w:tc>
        <w:tc>
          <w:tcPr>
            <w:tcW w:type="dxa" w:w="180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Full Agentic</w:t>
            </w:r>
          </w:p>
        </w:tc>
        <w:tc>
          <w:tcPr>
            <w:tcW w:type="dxa" w:w="1620"/>
            <w:tcBorders>
              <w:top w:val="single" w:color="B8C9D9" w:sz="1"/>
              <w:left w:val="single" w:color="B8C9D9" w:sz="1"/>
              <w:bottom w:val="single" w:color="B8C9D9" w:sz="1"/>
              <w:right w:val="single" w:color="B8C9D9"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Acceleration</w:t>
            </w:r>
          </w:p>
        </w:tc>
      </w:tr>
      <w:tr>
        <w:tc>
          <w:tcPr>
            <w:tcW w:type="dxa" w:w="234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New Development (Low Risk)</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12–18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6–10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3–5 weeks</w:t>
            </w:r>
          </w:p>
        </w:tc>
        <w:tc>
          <w:tcPr>
            <w:tcW w:type="dxa" w:w="162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70–75%</w:t>
            </w:r>
          </w:p>
        </w:tc>
      </w:tr>
      <w:tr>
        <w:tc>
          <w:tcPr>
            <w:tcW w:type="dxa" w:w="234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New Development (Moderate Risk)</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16–24 weeks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10–16 weeks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5–9 weeks</w:t>
            </w:r>
          </w:p>
        </w:tc>
        <w:tc>
          <w:tcPr>
            <w:tcW w:type="dxa" w:w="162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60–70%</w:t>
            </w:r>
          </w:p>
        </w:tc>
      </w:tr>
      <w:tr>
        <w:tc>
          <w:tcPr>
            <w:tcW w:type="dxa" w:w="234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New Development (High/Critical Risk)</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20–36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14–24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8–16 weeks</w:t>
            </w:r>
          </w:p>
        </w:tc>
        <w:tc>
          <w:tcPr>
            <w:tcW w:type="dxa" w:w="162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50–60%</w:t>
            </w:r>
          </w:p>
        </w:tc>
      </w:tr>
      <w:tr>
        <w:tc>
          <w:tcPr>
            <w:tcW w:type="dxa" w:w="234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bCs/>
                <w:color w:val="2D2D2D"/>
                <w:sz w:val="20"/>
                <w:szCs w:val="20"/>
              </w:rPr>
              <w:t xml:space="preserve">Third-Party Onboarding (Low Risk)</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8–12 weeks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4–8 weeks</w:t>
            </w:r>
          </w:p>
        </w:tc>
        <w:tc>
          <w:tcPr>
            <w:tcW w:type="dxa" w:w="180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2–4 weeks</w:t>
            </w:r>
          </w:p>
        </w:tc>
        <w:tc>
          <w:tcPr>
            <w:tcW w:type="dxa" w:w="1620"/>
            <w:tcBorders>
              <w:top w:val="single" w:color="B8C9D9" w:sz="1"/>
              <w:left w:val="single" w:color="B8C9D9" w:sz="1"/>
              <w:bottom w:val="single" w:color="B8C9D9" w:sz="1"/>
              <w:right w:val="single" w:color="B8C9D9" w:sz="1"/>
            </w:tcBorders>
            <w:shd w:fill="F2F7FB" w:val="clear"/>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65–75%</w:t>
            </w:r>
          </w:p>
        </w:tc>
      </w:tr>
      <w:tr>
        <w:tc>
          <w:tcPr>
            <w:tcW w:type="dxa" w:w="234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bCs/>
                <w:color w:val="2D2D2D"/>
                <w:sz w:val="20"/>
                <w:szCs w:val="20"/>
              </w:rPr>
              <w:t xml:space="preserve">Third-Party Onboarding (High/Critical)</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16–28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10–18 weeks</w:t>
            </w:r>
          </w:p>
        </w:tc>
        <w:tc>
          <w:tcPr>
            <w:tcW w:type="dxa" w:w="180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6–12 weeks</w:t>
            </w:r>
          </w:p>
        </w:tc>
        <w:tc>
          <w:tcPr>
            <w:tcW w:type="dxa" w:w="1620"/>
            <w:tcBorders>
              <w:top w:val="single" w:color="B8C9D9" w:sz="1"/>
              <w:left w:val="single" w:color="B8C9D9" w:sz="1"/>
              <w:bottom w:val="single" w:color="B8C9D9" w:sz="1"/>
              <w:right w:val="single" w:color="B8C9D9" w:sz="1"/>
            </w:tcBorders>
            <w:tcMar>
              <w:top w:type="dxa" w:w="80"/>
              <w:left w:type="dxa" w:w="120"/>
              <w:bottom w:type="dxa" w:w="80"/>
              <w:right w:type="dxa" w:w="120"/>
            </w:tcMar>
          </w:tcPr>
          <w:p>
            <w:pPr>
              <w:jc w:val="left"/>
            </w:pPr>
            <w:r>
              <w:rPr>
                <w:rFonts w:ascii="Arial" w:cs="Arial" w:eastAsia="Arial" w:hAnsi="Arial"/>
                <w:b w:val="false"/>
                <w:bCs w:val="false"/>
                <w:color w:val="2D2D2D"/>
                <w:sz w:val="20"/>
                <w:szCs w:val="20"/>
              </w:rPr>
              <w:t xml:space="preserve">50–60%</w:t>
            </w:r>
          </w:p>
        </w:tc>
      </w:tr>
    </w:tbl>
    <w:p>
      <w:pPr>
        <w:spacing w:before="120" w:after="120"/>
      </w:pPr>
    </w:p>
    <w:p>
      <w:pPr>
        <w:pBdr>
          <w:bottom w:val="single" w:color="2E75B6" w:sz="6" w:space="1"/>
        </w:pBdr>
        <w:spacing w:before="200" w:after="200"/>
      </w:pPr>
    </w:p>
    <w:p>
      <w:pPr>
        <w:spacing w:before="120" w:after="120"/>
      </w:pPr>
    </w:p>
    <w:p>
      <w:pPr>
        <w:spacing w:before="60" w:after="60"/>
        <w:jc w:val="left"/>
      </w:pPr>
      <w:r>
        <w:rPr>
          <w:rFonts w:ascii="Arial" w:cs="Arial" w:eastAsia="Arial" w:hAnsi="Arial"/>
          <w:b w:val="false"/>
          <w:bCs w:val="false"/>
          <w:i/>
          <w:iCs/>
          <w:color w:val="555555"/>
          <w:sz w:val="22"/>
          <w:szCs w:val="22"/>
        </w:rPr>
        <w:t xml:space="preserve">This concludes Section 2: Agentic SDLC Architecture (Part III) of the Enterprise Software Governance Intake-to-Retirement Lifecycle Playbook. This section is designed to be appended to Section 1: Strategic Foundation &amp; End-to-End Lifecycle (Parts I–II) and will be followed by Section 3: DevSecOps AI Framework (Part IV).</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55555"/>
        <w:sz w:val="16"/>
        <w:szCs w:val="16"/>
      </w:rPr>
      <w:t xml:space="preserve">CONFIDENTIAL — Internal Use Only</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55555"/>
        <w:sz w:val="18"/>
        <w:szCs w:val="18"/>
      </w:rPr>
      <w:t xml:space="preserve">Enterprise Software Governance — Agentic SDLC Architecture</w:t>
    </w:r>
    <w:r>
      <w:rPr>
        <w:rFonts w:ascii="Arial" w:cs="Arial" w:eastAsia="Arial" w:hAnsi="Arial"/>
        <w:color w:val="555555"/>
        <w:sz w:val="18"/>
        <w:szCs w:val="18"/>
      </w:rPr>
      <w:t xml:space="preserve">	Section 2 — Part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2026-03-02T20:30:15.708Z</dcterms:created>
  <dcterms:modified xsi:type="dcterms:W3CDTF">2026-03-02T20:30:15.709Z</dcterms:modified>
</cp:coreProperties>
</file>

<file path=docProps/custom.xml><?xml version="1.0" encoding="utf-8"?>
<Properties xmlns="http://schemas.openxmlformats.org/officeDocument/2006/custom-properties" xmlns:vt="http://schemas.openxmlformats.org/officeDocument/2006/docPropsVTypes"/>
</file>