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4"/>
          <w:szCs w:val="44"/>
        </w:rPr>
        <w:t xml:space="preserve">ENTERPRISE SOFTWARE GOVERNANCE</w:t>
      </w:r>
    </w:p>
    <w:p>
      <w:pPr>
        <w:spacing w:after="200"/>
        <w:jc w:val="center"/>
      </w:pPr>
      <w:r>
        <w:rPr>
          <w:rFonts w:ascii="Arial" w:cs="Arial" w:eastAsia="Arial" w:hAnsi="Arial"/>
          <w:b/>
          <w:bCs/>
          <w:color w:val="2E75B6"/>
          <w:sz w:val="36"/>
          <w:szCs w:val="36"/>
        </w:rPr>
        <w:t xml:space="preserve">INTAKE TO RETIREMENT LIFECYCLE PLAYBOOK</w:t>
      </w:r>
    </w:p>
    <w:p>
      <w:pPr>
        <w:spacing w:before="400"/>
      </w:pPr>
    </w:p>
    <w:p>
      <w:pPr>
        <w:spacing w:after="100"/>
        <w:jc w:val="center"/>
      </w:pPr>
      <w:r>
        <w:rPr>
          <w:rFonts w:ascii="Arial" w:cs="Arial" w:eastAsia="Arial" w:hAnsi="Arial"/>
          <w:b/>
          <w:bCs/>
          <w:color w:val="1B3A5C"/>
          <w:sz w:val="32"/>
          <w:szCs w:val="32"/>
        </w:rPr>
        <w:t xml:space="preserve">Section 4: Third-Party Risk Management</w:t>
      </w:r>
    </w:p>
    <w:p>
      <w:pPr>
        <w:spacing w:after="100"/>
        <w:jc w:val="center"/>
      </w:pPr>
      <w:r>
        <w:rPr>
          <w:rFonts w:ascii="Arial" w:cs="Arial" w:eastAsia="Arial" w:hAnsi="Arial"/>
          <w:color w:val="2E75B6"/>
          <w:sz w:val="28"/>
          <w:szCs w:val="28"/>
        </w:rPr>
        <w:t xml:space="preserve">Part V</w:t>
      </w:r>
    </w:p>
    <w:p>
      <w:pPr>
        <w:spacing w:before="600"/>
      </w:pPr>
    </w:p>
    <w:p>
      <w:pPr>
        <w:jc w:val="center"/>
      </w:pPr>
      <w:r>
        <w:rPr>
          <w:rFonts w:ascii="Arial" w:cs="Arial" w:eastAsia="Arial" w:hAnsi="Arial"/>
          <w:color w:val="666666"/>
          <w:sz w:val="22"/>
          <w:szCs w:val="22"/>
        </w:rPr>
        <w:t xml:space="preserve">Version 4.0  |  March 2026  |  CONFIDENTIAL</w:t>
      </w:r>
    </w:p>
    <w:p>
      <w:r>
        <w:br w:type="page"/>
      </w:r>
    </w:p>
    <w:p>
      <w:pPr>
        <w:pStyle w:val="Heading1"/>
        <w:spacing w:before="360" w:after="2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V.1 Executive Overview and Strategic Context</w:t>
      </w:r>
    </w:p>
    <w:p>
      <w:pPr>
        <w:spacing w:before="60" w:after="60"/>
      </w:pPr>
    </w:p>
    <w:p>
      <w:pPr>
        <w:pStyle w:val="Heading2"/>
        <w:spacing w:before="280" w:after="160"/>
      </w:pPr>
      <w:r>
        <w:rPr>
          <w:rFonts w:ascii="Arial" w:cs="Arial" w:eastAsia="Arial" w:hAnsi="Arial"/>
          <w:b/>
          <w:bCs/>
          <w:color w:val="2E75B6"/>
          <w:sz w:val="28"/>
          <w:szCs w:val="28"/>
        </w:rPr>
        <w:t xml:space="preserve">V.1.1 Strategic Imperative</w:t>
      </w:r>
    </w:p>
    <w:p>
      <w:pPr>
        <w:spacing w:before="80" w:after="80"/>
      </w:pPr>
      <w:r>
        <w:rPr>
          <w:rFonts w:ascii="Arial" w:cs="Arial" w:eastAsia="Arial" w:hAnsi="Arial"/>
          <w:sz w:val="22"/>
          <w:szCs w:val="22"/>
        </w:rPr>
        <w:t xml:space="preserve">Modern enterprise software ecosystems are characterized by deep interdependencies with third-party vendors, cloud service providers, open-source communities, and managed service partners. As organizations accelerate digital transformation through AI-driven development practices, the volume and complexity of third-party relationships have grown exponentially. A single enterprise may maintain active relationships with hundreds or thousands of technology vendors, each introducing unique risk vectors spanning security, compliance, operational continuity, financial stability, and reputational exposure.</w:t>
      </w:r>
    </w:p>
    <w:p>
      <w:pPr>
        <w:spacing w:before="80" w:after="80"/>
      </w:pPr>
      <w:r>
        <w:rPr>
          <w:rFonts w:ascii="Arial" w:cs="Arial" w:eastAsia="Arial" w:hAnsi="Arial"/>
          <w:sz w:val="22"/>
          <w:szCs w:val="22"/>
        </w:rPr>
        <w:t xml:space="preserve">Third-Party Risk Management (TPRM) is no longer a peripheral compliance function but a strategic capability that directly impacts an organization's ability to innovate safely and maintain operational resilience. The Intake to Retirement lifecycle framework positions TPRM as an integral component of the end-to-end software governance model, ensuring that every external technology dependency is systematically identified, assessed, monitored, and governed from initial evaluation through eventual retirement.</w:t>
      </w:r>
    </w:p>
    <w:p>
      <w:pPr>
        <w:spacing w:before="80" w:after="80"/>
      </w:pPr>
      <w:r>
        <w:rPr>
          <w:rFonts w:ascii="Arial" w:cs="Arial" w:eastAsia="Arial" w:hAnsi="Arial"/>
          <w:sz w:val="22"/>
          <w:szCs w:val="22"/>
        </w:rPr>
        <w:t xml:space="preserve">This section establishes the comprehensive TPRM framework that integrates with the Agentic SDLC Architecture (Part III) and DevSecOps AI Framework (Part IV), creating a unified governance model where third-party risk is continuously evaluated alongside internally developed capabilities.</w:t>
      </w:r>
    </w:p>
    <w:p>
      <w:pPr>
        <w:pStyle w:val="Heading2"/>
        <w:spacing w:before="280" w:after="160"/>
      </w:pPr>
      <w:r>
        <w:rPr>
          <w:rFonts w:ascii="Arial" w:cs="Arial" w:eastAsia="Arial" w:hAnsi="Arial"/>
          <w:b/>
          <w:bCs/>
          <w:color w:val="2E75B6"/>
          <w:sz w:val="28"/>
          <w:szCs w:val="28"/>
        </w:rPr>
        <w:t xml:space="preserve">V.1.2 TPRM Program Objectives</w:t>
      </w:r>
    </w:p>
    <w:p>
      <w:pPr>
        <w:spacing w:before="80" w:after="80"/>
      </w:pPr>
      <w:r>
        <w:rPr>
          <w:rFonts w:ascii="Arial" w:cs="Arial" w:eastAsia="Arial" w:hAnsi="Arial"/>
          <w:sz w:val="22"/>
          <w:szCs w:val="22"/>
        </w:rPr>
        <w:t xml:space="preserve">The Third-Party Risk Management program is designed to achieve five strategic objectives that align with enterprise-wide governance goals: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Objective</w:t>
            </w:r>
          </w:p>
        </w:tc>
        <w:tc>
          <w:tcPr>
            <w:tcW w:type="dxa" w:w="43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2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Outcome</w:t>
            </w:r>
          </w:p>
        </w:tc>
      </w:tr>
      <w:tr>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Comprehensive Risk Visibility</w:t>
            </w:r>
          </w:p>
        </w:tc>
        <w:tc>
          <w:tcPr>
            <w:tcW w:type="dxa" w:w="4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Establish real-time visibility into all third-party relationships and their associated risk profiles across the enterprise</w:t>
            </w:r>
          </w:p>
        </w:tc>
        <w:tc>
          <w:tcPr>
            <w:tcW w:type="dxa" w:w="2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Single pane of glass for all vendor risk intelligence</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Lifecycle Governance</w:t>
            </w:r>
          </w:p>
        </w:tc>
        <w:tc>
          <w:tcPr>
            <w:tcW w:type="dxa" w:w="4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Embed risk management practices throughout the complete vendor lifecycle from intake through retirement</w:t>
            </w:r>
          </w:p>
        </w:tc>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Zero ungoverned vendor relationships</w:t>
            </w:r>
          </w:p>
        </w:tc>
      </w:tr>
      <w:tr>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AI-Enhanced Assessment</w:t>
            </w:r>
          </w:p>
        </w:tc>
        <w:tc>
          <w:tcPr>
            <w:tcW w:type="dxa" w:w="4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Leverage artificial intelligence and machine learning to automate risk identification, scoring, and continuous monitoring</w:t>
            </w:r>
          </w:p>
        </w:tc>
        <w:tc>
          <w:tcPr>
            <w:tcW w:type="dxa" w:w="2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85% reduction in manual assessment effort</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Regulatory Alignment</w:t>
            </w:r>
          </w:p>
        </w:tc>
        <w:tc>
          <w:tcPr>
            <w:tcW w:type="dxa" w:w="4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Ensure all third-party relationships comply with applicable regulatory requirements including SOC 2, HIPAA, PCI-DSS, GDPR, DORA, and sector-specific mandates</w:t>
            </w:r>
          </w:p>
        </w:tc>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100% regulatory compliance coverage</w:t>
            </w:r>
          </w:p>
        </w:tc>
      </w:tr>
      <w:tr>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Operational Resilience</w:t>
            </w:r>
          </w:p>
        </w:tc>
        <w:tc>
          <w:tcPr>
            <w:tcW w:type="dxa" w:w="4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Maintain business continuity and service availability through proactive concentration risk management and exit planning</w:t>
            </w:r>
          </w:p>
        </w:tc>
        <w:tc>
          <w:tcPr>
            <w:tcW w:type="dxa" w:w="2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Recovery within defined RTO/RPO targets</w:t>
            </w:r>
          </w:p>
        </w:tc>
      </w:tr>
    </w:tbl>
    <w:p>
      <w:pPr>
        <w:spacing w:before="60" w:after="60"/>
      </w:pPr>
    </w:p>
    <w:p>
      <w:pPr>
        <w:pStyle w:val="Heading2"/>
        <w:spacing w:before="280" w:after="160"/>
      </w:pPr>
      <w:r>
        <w:rPr>
          <w:rFonts w:ascii="Arial" w:cs="Arial" w:eastAsia="Arial" w:hAnsi="Arial"/>
          <w:b/>
          <w:bCs/>
          <w:color w:val="2E75B6"/>
          <w:sz w:val="28"/>
          <w:szCs w:val="28"/>
        </w:rPr>
        <w:t xml:space="preserve">V.1.3 Scope and Applicability</w:t>
      </w:r>
    </w:p>
    <w:p>
      <w:pPr>
        <w:spacing w:before="80" w:after="80"/>
      </w:pPr>
      <w:r>
        <w:rPr>
          <w:rFonts w:ascii="Arial" w:cs="Arial" w:eastAsia="Arial" w:hAnsi="Arial"/>
          <w:sz w:val="22"/>
          <w:szCs w:val="22"/>
        </w:rPr>
        <w:t xml:space="preserve">This TPRM framework applies to all categories of third-party technology relationships maintained by the enterprise:</w:t>
      </w:r>
    </w:p>
    <w:p>
      <w:pPr>
        <w:pStyle w:val="ListParagraph"/>
        <w:numPr>
          <w:ilvl w:val="0"/>
          <w:numId w:val="2"/>
        </w:numPr>
        <w:spacing w:before="40" w:after="40"/>
      </w:pPr>
      <w:r>
        <w:rPr>
          <w:rFonts w:ascii="Arial" w:cs="Arial" w:eastAsia="Arial" w:hAnsi="Arial"/>
          <w:b/>
          <w:bCs/>
          <w:sz w:val="22"/>
          <w:szCs w:val="22"/>
        </w:rPr>
        <w:t xml:space="preserve">Software-as-a-Service (SaaS) Providers: </w:t>
      </w:r>
      <w:r>
        <w:rPr>
          <w:rFonts w:ascii="Arial" w:cs="Arial" w:eastAsia="Arial" w:hAnsi="Arial"/>
          <w:sz w:val="22"/>
          <w:szCs w:val="22"/>
        </w:rPr>
        <w:t xml:space="preserve">Cloud-hosted application platforms including productivity, CRM, HCM, ERP, and specialized business tools</w:t>
      </w:r>
    </w:p>
    <w:p>
      <w:pPr>
        <w:pStyle w:val="ListParagraph"/>
        <w:numPr>
          <w:ilvl w:val="0"/>
          <w:numId w:val="2"/>
        </w:numPr>
        <w:spacing w:before="40" w:after="40"/>
      </w:pPr>
      <w:r>
        <w:rPr>
          <w:rFonts w:ascii="Arial" w:cs="Arial" w:eastAsia="Arial" w:hAnsi="Arial"/>
          <w:b/>
          <w:bCs/>
          <w:sz w:val="22"/>
          <w:szCs w:val="22"/>
        </w:rPr>
        <w:t xml:space="preserve">Infrastructure and Platform Providers: </w:t>
      </w:r>
      <w:r>
        <w:rPr>
          <w:rFonts w:ascii="Arial" w:cs="Arial" w:eastAsia="Arial" w:hAnsi="Arial"/>
          <w:sz w:val="22"/>
          <w:szCs w:val="22"/>
        </w:rPr>
        <w:t xml:space="preserve">Cloud infrastructure (IaaS/PaaS), hosting services, content delivery networks, and managed database services</w:t>
      </w:r>
    </w:p>
    <w:p>
      <w:pPr>
        <w:pStyle w:val="ListParagraph"/>
        <w:numPr>
          <w:ilvl w:val="0"/>
          <w:numId w:val="2"/>
        </w:numPr>
        <w:spacing w:before="40" w:after="40"/>
      </w:pPr>
      <w:r>
        <w:rPr>
          <w:rFonts w:ascii="Arial" w:cs="Arial" w:eastAsia="Arial" w:hAnsi="Arial"/>
          <w:b/>
          <w:bCs/>
          <w:sz w:val="22"/>
          <w:szCs w:val="22"/>
        </w:rPr>
        <w:t xml:space="preserve">Managed Service Providers: </w:t>
      </w:r>
      <w:r>
        <w:rPr>
          <w:rFonts w:ascii="Arial" w:cs="Arial" w:eastAsia="Arial" w:hAnsi="Arial"/>
          <w:sz w:val="22"/>
          <w:szCs w:val="22"/>
        </w:rPr>
        <w:t xml:space="preserve">Outsourced IT operations, security operations centers (SOC), application management, and help desk services</w:t>
      </w:r>
    </w:p>
    <w:p>
      <w:pPr>
        <w:pStyle w:val="ListParagraph"/>
        <w:numPr>
          <w:ilvl w:val="0"/>
          <w:numId w:val="2"/>
        </w:numPr>
        <w:spacing w:before="40" w:after="40"/>
      </w:pPr>
      <w:r>
        <w:rPr>
          <w:rFonts w:ascii="Arial" w:cs="Arial" w:eastAsia="Arial" w:hAnsi="Arial"/>
          <w:b/>
          <w:bCs/>
          <w:sz w:val="22"/>
          <w:szCs w:val="22"/>
        </w:rPr>
        <w:t xml:space="preserve">Development Toolchain Vendors: </w:t>
      </w:r>
      <w:r>
        <w:rPr>
          <w:rFonts w:ascii="Arial" w:cs="Arial" w:eastAsia="Arial" w:hAnsi="Arial"/>
          <w:sz w:val="22"/>
          <w:szCs w:val="22"/>
        </w:rPr>
        <w:t xml:space="preserve">CI/CD platforms, code repositories, testing tools, AI coding assistants, and DevOps infrastructure</w:t>
      </w:r>
    </w:p>
    <w:p>
      <w:pPr>
        <w:pStyle w:val="ListParagraph"/>
        <w:numPr>
          <w:ilvl w:val="0"/>
          <w:numId w:val="2"/>
        </w:numPr>
        <w:spacing w:before="40" w:after="40"/>
      </w:pPr>
      <w:r>
        <w:rPr>
          <w:rFonts w:ascii="Arial" w:cs="Arial" w:eastAsia="Arial" w:hAnsi="Arial"/>
          <w:b/>
          <w:bCs/>
          <w:sz w:val="22"/>
          <w:szCs w:val="22"/>
        </w:rPr>
        <w:t xml:space="preserve">Open-Source Dependencies: </w:t>
      </w:r>
      <w:r>
        <w:rPr>
          <w:rFonts w:ascii="Arial" w:cs="Arial" w:eastAsia="Arial" w:hAnsi="Arial"/>
          <w:sz w:val="22"/>
          <w:szCs w:val="22"/>
        </w:rPr>
        <w:t xml:space="preserve">Libraries, frameworks, and components incorporated into enterprise applications through direct or transitive dependency</w:t>
      </w:r>
    </w:p>
    <w:p>
      <w:pPr>
        <w:pStyle w:val="ListParagraph"/>
        <w:numPr>
          <w:ilvl w:val="0"/>
          <w:numId w:val="2"/>
        </w:numPr>
        <w:spacing w:before="40" w:after="40"/>
      </w:pPr>
      <w:r>
        <w:rPr>
          <w:rFonts w:ascii="Arial" w:cs="Arial" w:eastAsia="Arial" w:hAnsi="Arial"/>
          <w:b/>
          <w:bCs/>
          <w:sz w:val="22"/>
          <w:szCs w:val="22"/>
        </w:rPr>
        <w:t xml:space="preserve">Data Processors and Subprocessors: </w:t>
      </w:r>
      <w:r>
        <w:rPr>
          <w:rFonts w:ascii="Arial" w:cs="Arial" w:eastAsia="Arial" w:hAnsi="Arial"/>
          <w:sz w:val="22"/>
          <w:szCs w:val="22"/>
        </w:rPr>
        <w:t xml:space="preserve">Entities that access, process, store, or transmit enterprise or customer data on behalf of the organization</w:t>
      </w:r>
    </w:p>
    <w:p>
      <w:pPr>
        <w:pStyle w:val="ListParagraph"/>
        <w:numPr>
          <w:ilvl w:val="0"/>
          <w:numId w:val="2"/>
        </w:numPr>
        <w:spacing w:before="40" w:after="40"/>
      </w:pPr>
      <w:r>
        <w:rPr>
          <w:rFonts w:ascii="Arial" w:cs="Arial" w:eastAsia="Arial" w:hAnsi="Arial"/>
          <w:b/>
          <w:bCs/>
          <w:sz w:val="22"/>
          <w:szCs w:val="22"/>
        </w:rPr>
        <w:t xml:space="preserve">Professional Services Firms: </w:t>
      </w:r>
      <w:r>
        <w:rPr>
          <w:rFonts w:ascii="Arial" w:cs="Arial" w:eastAsia="Arial" w:hAnsi="Arial"/>
          <w:sz w:val="22"/>
          <w:szCs w:val="22"/>
        </w:rPr>
        <w:t xml:space="preserve">Consulting, implementation, staff augmentation, and advisory partners with access to enterprise systems or data</w:t>
      </w:r>
    </w:p>
    <w:p>
      <w:pPr>
        <w:pStyle w:val="ListParagraph"/>
        <w:numPr>
          <w:ilvl w:val="0"/>
          <w:numId w:val="2"/>
        </w:numPr>
        <w:spacing w:before="40" w:after="40"/>
      </w:pPr>
      <w:r>
        <w:rPr>
          <w:rFonts w:ascii="Arial" w:cs="Arial" w:eastAsia="Arial" w:hAnsi="Arial"/>
          <w:b/>
          <w:bCs/>
          <w:sz w:val="22"/>
          <w:szCs w:val="22"/>
        </w:rPr>
        <w:t xml:space="preserve">API and Integration Partners: </w:t>
      </w:r>
      <w:r>
        <w:rPr>
          <w:rFonts w:ascii="Arial" w:cs="Arial" w:eastAsia="Arial" w:hAnsi="Arial"/>
          <w:sz w:val="22"/>
          <w:szCs w:val="22"/>
        </w:rPr>
        <w:t xml:space="preserve">External systems connected through APIs, data feeds, webhooks, or other integration mechanisms</w:t>
      </w:r>
    </w:p>
    <w:p>
      <w:pPr>
        <w:spacing w:before="60" w:after="60"/>
      </w:pPr>
    </w:p>
    <w:p>
      <w:pPr>
        <w:pStyle w:val="Heading2"/>
        <w:spacing w:before="280" w:after="160"/>
      </w:pPr>
      <w:r>
        <w:rPr>
          <w:rFonts w:ascii="Arial" w:cs="Arial" w:eastAsia="Arial" w:hAnsi="Arial"/>
          <w:b/>
          <w:bCs/>
          <w:color w:val="2E75B6"/>
          <w:sz w:val="28"/>
          <w:szCs w:val="28"/>
        </w:rPr>
        <w:t xml:space="preserve">V.1.4 Framework Integration Architecture</w:t>
      </w:r>
    </w:p>
    <w:p>
      <w:pPr>
        <w:spacing w:before="80" w:after="80"/>
      </w:pPr>
      <w:r>
        <w:rPr>
          <w:rFonts w:ascii="Arial" w:cs="Arial" w:eastAsia="Arial" w:hAnsi="Arial"/>
          <w:sz w:val="22"/>
          <w:szCs w:val="22"/>
        </w:rPr>
        <w:t xml:space="preserve">The TPRM framework does not operate in isolation but integrates with every layer of the Intake to Retirement governance model. Vendor risk assessments feed directly into architecture decisions (Part III), security pipeline configurations (Part IV), and development standards enforcement (Part VIII). When the Agentic SDLC recommends incorporating a third-party library or service, the TPRM framework provides the risk intelligence needed to make informed adoption decisions. When the DevSecOps pipeline detects a vulnerability in a third-party component, the TPRM framework triggers the appropriate vendor engagement and remediation workflows.</w:t>
      </w:r>
    </w:p>
    <w:p>
      <w:pPr>
        <w:spacing w:before="80" w:after="80"/>
      </w:pPr>
      <w:r>
        <w:rPr>
          <w:rFonts w:ascii="Arial" w:cs="Arial" w:eastAsia="Arial" w:hAnsi="Arial"/>
          <w:sz w:val="22"/>
          <w:szCs w:val="22"/>
        </w:rPr>
        <w:t xml:space="preserve">This bidirectional integration ensures that third-party risk intelligence is not a static report but a living, continuously updated data layer that informs real-time governance decisions across the software lifecycle.</w:t>
      </w:r>
    </w:p>
    <w:p>
      <w:r>
        <w:br w:type="page"/>
      </w:r>
    </w:p>
    <w:p>
      <w:pPr>
        <w:pStyle w:val="Heading1"/>
        <w:spacing w:before="360" w:after="200"/>
      </w:pPr>
      <w:r>
        <w:rPr>
          <w:rFonts w:ascii="Arial" w:cs="Arial" w:eastAsia="Arial" w:hAnsi="Arial"/>
          <w:b/>
          <w:bCs/>
          <w:color w:val="1B3A5C"/>
          <w:sz w:val="32"/>
          <w:szCs w:val="32"/>
        </w:rPr>
        <w:t xml:space="preserve">V.2 TPRM Program Governance Structure</w:t>
      </w:r>
    </w:p>
    <w:p>
      <w:pPr>
        <w:spacing w:before="60" w:after="60"/>
      </w:pPr>
    </w:p>
    <w:p>
      <w:pPr>
        <w:pStyle w:val="Heading2"/>
        <w:spacing w:before="280" w:after="160"/>
      </w:pPr>
      <w:r>
        <w:rPr>
          <w:rFonts w:ascii="Arial" w:cs="Arial" w:eastAsia="Arial" w:hAnsi="Arial"/>
          <w:b/>
          <w:bCs/>
          <w:color w:val="2E75B6"/>
          <w:sz w:val="28"/>
          <w:szCs w:val="28"/>
        </w:rPr>
        <w:t xml:space="preserve">V.2.1 Governance Model Overview</w:t>
      </w:r>
    </w:p>
    <w:p>
      <w:pPr>
        <w:spacing w:before="80" w:after="80"/>
      </w:pPr>
      <w:r>
        <w:rPr>
          <w:rFonts w:ascii="Arial" w:cs="Arial" w:eastAsia="Arial" w:hAnsi="Arial"/>
          <w:sz w:val="22"/>
          <w:szCs w:val="22"/>
        </w:rPr>
        <w:t xml:space="preserve">Effective third-party risk management requires a governance structure that provides clear accountability, consistent decision-making authority, and efficient escalation pathways. The TPRM governance model operates across three tiers, each with defined responsibilities and authority levels.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160"/>
        <w:gridCol w:w="1800"/>
      </w:tblGrid>
      <w:tr>
        <w:trPr>
          <w:tblHeader/>
        </w:trPr>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Governance Tier</w:t>
            </w:r>
          </w:p>
        </w:tc>
        <w:tc>
          <w:tcPr>
            <w:tcW w:type="dxa" w:w="2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Composition</w:t>
            </w:r>
          </w:p>
        </w:tc>
        <w:tc>
          <w:tcPr>
            <w:tcW w:type="dxa" w:w="31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Authority</w:t>
            </w:r>
          </w:p>
        </w:tc>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Meeting Cadence</w:t>
            </w:r>
          </w:p>
        </w:tc>
      </w:tr>
      <w:tr>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Executive Risk Committee</w:t>
            </w:r>
          </w:p>
        </w:tc>
        <w:tc>
          <w:tcPr>
            <w:tcW w:type="dxa" w:w="2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CIO, CISO, CFO, CPO, General Counsel, VP Engineering</w:t>
            </w:r>
          </w:p>
        </w:tc>
        <w:tc>
          <w:tcPr>
            <w:tcW w:type="dxa" w:w="3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Strategic direction, risk appetite definition, exception approval for Critical-tier vendors, budget allocation</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Monthly</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TPRM Steering Council</w:t>
            </w:r>
          </w:p>
        </w:tc>
        <w:tc>
          <w:tcPr>
            <w:tcW w:type="dxa" w:w="2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Director of Vendor Management, Security Architecture Lead, Compliance Manager, Enterprise Architecture Lead, Procurement Director</w:t>
            </w:r>
          </w:p>
        </w:tc>
        <w:tc>
          <w:tcPr>
            <w:tcW w:type="dxa" w:w="31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Policy enforcement, assessment methodology approval, vendor tier classification decisions, cross-functional coordination</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Bi-weekly</w:t>
            </w:r>
          </w:p>
        </w:tc>
      </w:tr>
      <w:tr>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Operational TPRM Team</w:t>
            </w:r>
          </w:p>
        </w:tc>
        <w:tc>
          <w:tcPr>
            <w:tcW w:type="dxa" w:w="2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Vendor Risk Analysts, Security Assessors, Contract Managers, Technical Reviewers, Compliance Specialists</w:t>
            </w:r>
          </w:p>
        </w:tc>
        <w:tc>
          <w:tcPr>
            <w:tcW w:type="dxa" w:w="3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Day-to-day assessment execution, monitoring, reporting, vendor engagement, issue tracking and remediation coordination</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Daily standups, Weekly reviews</w:t>
            </w:r>
          </w:p>
        </w:tc>
      </w:tr>
    </w:tbl>
    <w:p>
      <w:pPr>
        <w:spacing w:before="60" w:after="60"/>
      </w:pPr>
    </w:p>
    <w:p>
      <w:pPr>
        <w:pStyle w:val="Heading2"/>
        <w:spacing w:before="280" w:after="160"/>
      </w:pPr>
      <w:r>
        <w:rPr>
          <w:rFonts w:ascii="Arial" w:cs="Arial" w:eastAsia="Arial" w:hAnsi="Arial"/>
          <w:b/>
          <w:bCs/>
          <w:color w:val="2E75B6"/>
          <w:sz w:val="28"/>
          <w:szCs w:val="28"/>
        </w:rPr>
        <w:t xml:space="preserve">V.2.2 Roles and Responsibilities Matrix</w:t>
      </w:r>
    </w:p>
    <w:p>
      <w:pPr>
        <w:spacing w:before="80" w:after="80"/>
      </w:pPr>
      <w:r>
        <w:rPr>
          <w:rFonts w:ascii="Arial" w:cs="Arial" w:eastAsia="Arial" w:hAnsi="Arial"/>
          <w:sz w:val="22"/>
          <w:szCs w:val="22"/>
        </w:rPr>
        <w:t xml:space="preserve">The RACI model for TPRM activities ensures no ambiguity in ownership across the vendor lifecycle: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1760"/>
        <w:gridCol w:w="1400"/>
      </w:tblGrid>
      <w:tr>
        <w:trPr>
          <w:tblHeader/>
        </w:trPr>
        <w:tc>
          <w:tcPr>
            <w:tcW w:type="dxa" w:w="2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Activity</w:t>
            </w:r>
          </w:p>
        </w:tc>
        <w:tc>
          <w:tcPr>
            <w:tcW w:type="dxa" w:w="14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Vendor Mgmt</w:t>
            </w:r>
          </w:p>
        </w:tc>
        <w:tc>
          <w:tcPr>
            <w:tcW w:type="dxa" w:w="14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Security</w:t>
            </w:r>
          </w:p>
        </w:tc>
        <w:tc>
          <w:tcPr>
            <w:tcW w:type="dxa" w:w="1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Legal</w:t>
            </w:r>
          </w:p>
        </w:tc>
        <w:tc>
          <w:tcPr>
            <w:tcW w:type="dxa" w:w="17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Business Owner</w:t>
            </w:r>
          </w:p>
        </w:tc>
        <w:tc>
          <w:tcPr>
            <w:tcW w:type="dxa" w:w="14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Exec Committee</w:t>
            </w:r>
          </w:p>
        </w:tc>
      </w:tr>
      <w:tr>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Vendor Intake Request</w:t>
            </w:r>
          </w:p>
        </w:tc>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w:t>
            </w:r>
          </w:p>
        </w:tc>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w:t>
            </w:r>
          </w:p>
        </w:tc>
        <w:tc>
          <w:tcPr>
            <w:tcW w:type="dxa" w:w="1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w:t>
            </w:r>
          </w:p>
        </w:tc>
        <w:tc>
          <w:tcPr>
            <w:tcW w:type="dxa" w:w="1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w:t>
            </w:r>
          </w:p>
        </w:tc>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Risk Tier Classification</w:t>
            </w:r>
          </w:p>
        </w:tc>
        <w:tc>
          <w:tcPr>
            <w:tcW w:type="dxa" w:w="1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w:t>
            </w:r>
          </w:p>
        </w:tc>
        <w:tc>
          <w:tcPr>
            <w:tcW w:type="dxa" w:w="1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w:t>
            </w:r>
          </w:p>
        </w:tc>
        <w:tc>
          <w:tcPr>
            <w:tcW w:type="dxa" w:w="1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I</w:t>
            </w:r>
          </w:p>
        </w:tc>
        <w:tc>
          <w:tcPr>
            <w:tcW w:type="dxa" w:w="1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I</w:t>
            </w:r>
          </w:p>
        </w:tc>
      </w:tr>
      <w:tr>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Security Assessment</w:t>
            </w:r>
          </w:p>
        </w:tc>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w:t>
            </w:r>
          </w:p>
        </w:tc>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R/A</w:t>
            </w:r>
          </w:p>
        </w:tc>
        <w:tc>
          <w:tcPr>
            <w:tcW w:type="dxa" w:w="1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w:t>
            </w:r>
          </w:p>
        </w:tc>
        <w:tc>
          <w:tcPr>
            <w:tcW w:type="dxa" w:w="1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w:t>
            </w:r>
          </w:p>
        </w:tc>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Contract Negotiation</w:t>
            </w:r>
          </w:p>
        </w:tc>
        <w:tc>
          <w:tcPr>
            <w:tcW w:type="dxa" w:w="1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w:t>
            </w:r>
          </w:p>
        </w:tc>
        <w:tc>
          <w:tcPr>
            <w:tcW w:type="dxa" w:w="1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R/A</w:t>
            </w:r>
          </w:p>
        </w:tc>
        <w:tc>
          <w:tcPr>
            <w:tcW w:type="dxa" w:w="1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w:t>
            </w:r>
          </w:p>
        </w:tc>
        <w:tc>
          <w:tcPr>
            <w:tcW w:type="dxa" w:w="1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I</w:t>
            </w:r>
          </w:p>
        </w:tc>
      </w:tr>
      <w:tr>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Ongoing Monitoring</w:t>
            </w:r>
          </w:p>
        </w:tc>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R/A</w:t>
            </w:r>
          </w:p>
        </w:tc>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w:t>
            </w:r>
          </w:p>
        </w:tc>
        <w:tc>
          <w:tcPr>
            <w:tcW w:type="dxa" w:w="1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w:t>
            </w:r>
          </w:p>
        </w:tc>
        <w:tc>
          <w:tcPr>
            <w:tcW w:type="dxa" w:w="1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w:t>
            </w:r>
          </w:p>
        </w:tc>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Incident Response</w:t>
            </w:r>
          </w:p>
        </w:tc>
        <w:tc>
          <w:tcPr>
            <w:tcW w:type="dxa" w:w="1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w:t>
            </w:r>
          </w:p>
        </w:tc>
        <w:tc>
          <w:tcPr>
            <w:tcW w:type="dxa" w:w="1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R/A</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w:t>
            </w:r>
          </w:p>
        </w:tc>
        <w:tc>
          <w:tcPr>
            <w:tcW w:type="dxa" w:w="1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I</w:t>
            </w:r>
          </w:p>
        </w:tc>
        <w:tc>
          <w:tcPr>
            <w:tcW w:type="dxa" w:w="1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w:t>
            </w:r>
          </w:p>
        </w:tc>
      </w:tr>
      <w:tr>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Periodic Reassessment</w:t>
            </w:r>
          </w:p>
        </w:tc>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w:t>
            </w:r>
          </w:p>
        </w:tc>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w:t>
            </w:r>
          </w:p>
        </w:tc>
        <w:tc>
          <w:tcPr>
            <w:tcW w:type="dxa" w:w="1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w:t>
            </w:r>
          </w:p>
        </w:tc>
        <w:tc>
          <w:tcPr>
            <w:tcW w:type="dxa" w:w="1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w:t>
            </w:r>
          </w:p>
        </w:tc>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Exit/Retirement Decision</w:t>
            </w:r>
          </w:p>
        </w:tc>
        <w:tc>
          <w:tcPr>
            <w:tcW w:type="dxa" w:w="1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w:t>
            </w:r>
          </w:p>
        </w:tc>
        <w:tc>
          <w:tcPr>
            <w:tcW w:type="dxa" w:w="1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w:t>
            </w:r>
          </w:p>
        </w:tc>
        <w:tc>
          <w:tcPr>
            <w:tcW w:type="dxa" w:w="1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w:t>
            </w:r>
          </w:p>
        </w:tc>
        <w:tc>
          <w:tcPr>
            <w:tcW w:type="dxa" w:w="1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w:t>
            </w:r>
          </w:p>
        </w:tc>
      </w:tr>
    </w:tbl>
    <w:p>
      <w:pPr>
        <w:spacing w:before="80" w:after="80"/>
      </w:pPr>
      <w:r>
        <w:rPr>
          <w:rFonts w:ascii="Arial" w:cs="Arial" w:eastAsia="Arial" w:hAnsi="Arial"/>
          <w:i/>
          <w:iCs/>
          <w:color w:val="666666"/>
          <w:sz w:val="18"/>
          <w:szCs w:val="18"/>
        </w:rPr>
        <w:t xml:space="preserve">R = Responsible, A = Accountable, C = Consulted, I = Informed</w:t>
      </w:r>
    </w:p>
    <w:p>
      <w:pPr>
        <w:spacing w:before="60" w:after="60"/>
      </w:pPr>
    </w:p>
    <w:p>
      <w:pPr>
        <w:pStyle w:val="Heading2"/>
        <w:spacing w:before="280" w:after="160"/>
      </w:pPr>
      <w:r>
        <w:rPr>
          <w:rFonts w:ascii="Arial" w:cs="Arial" w:eastAsia="Arial" w:hAnsi="Arial"/>
          <w:b/>
          <w:bCs/>
          <w:color w:val="2E75B6"/>
          <w:sz w:val="28"/>
          <w:szCs w:val="28"/>
        </w:rPr>
        <w:t xml:space="preserve">V.2.3 Policy Framework</w:t>
      </w:r>
    </w:p>
    <w:p>
      <w:pPr>
        <w:spacing w:before="80" w:after="80"/>
      </w:pPr>
      <w:r>
        <w:rPr>
          <w:rFonts w:ascii="Arial" w:cs="Arial" w:eastAsia="Arial" w:hAnsi="Arial"/>
          <w:sz w:val="22"/>
          <w:szCs w:val="22"/>
        </w:rPr>
        <w:t xml:space="preserve">The TPRM program is governed by a hierarchical policy structure that provides both strategic direction and operational specificity:</w:t>
      </w:r>
    </w:p>
    <w:p>
      <w:pPr>
        <w:pStyle w:val="ListParagraph"/>
        <w:numPr>
          <w:ilvl w:val="0"/>
          <w:numId w:val="3"/>
        </w:numPr>
        <w:spacing w:before="40" w:after="40"/>
      </w:pPr>
      <w:r>
        <w:rPr>
          <w:rFonts w:ascii="Arial" w:cs="Arial" w:eastAsia="Arial" w:hAnsi="Arial"/>
          <w:b/>
          <w:bCs/>
          <w:sz w:val="22"/>
          <w:szCs w:val="22"/>
        </w:rPr>
        <w:t xml:space="preserve">Enterprise TPRM Policy: </w:t>
      </w:r>
      <w:r>
        <w:rPr>
          <w:rFonts w:ascii="Arial" w:cs="Arial" w:eastAsia="Arial" w:hAnsi="Arial"/>
          <w:sz w:val="22"/>
          <w:szCs w:val="22"/>
        </w:rPr>
        <w:t xml:space="preserve">Board-approved document establishing the organizational commitment to third-party risk management, defining risk appetite, and mandating compliance with the framework. Reviewed annually by the Executive Risk Committee.</w:t>
      </w:r>
    </w:p>
    <w:p>
      <w:pPr>
        <w:pStyle w:val="ListParagraph"/>
        <w:numPr>
          <w:ilvl w:val="0"/>
          <w:numId w:val="3"/>
        </w:numPr>
        <w:spacing w:before="40" w:after="40"/>
      </w:pPr>
      <w:r>
        <w:rPr>
          <w:rFonts w:ascii="Arial" w:cs="Arial" w:eastAsia="Arial" w:hAnsi="Arial"/>
          <w:b/>
          <w:bCs/>
          <w:sz w:val="22"/>
          <w:szCs w:val="22"/>
        </w:rPr>
        <w:t xml:space="preserve">TPRM Standards and Procedures: </w:t>
      </w:r>
      <w:r>
        <w:rPr>
          <w:rFonts w:ascii="Arial" w:cs="Arial" w:eastAsia="Arial" w:hAnsi="Arial"/>
          <w:sz w:val="22"/>
          <w:szCs w:val="22"/>
        </w:rPr>
        <w:t xml:space="preserve">Detailed operational documents defining assessment methodologies, scoring models, monitoring frequencies, and escalation protocols. Updated quarterly by the TPRM Steering Council.</w:t>
      </w:r>
    </w:p>
    <w:p>
      <w:pPr>
        <w:pStyle w:val="ListParagraph"/>
        <w:numPr>
          <w:ilvl w:val="0"/>
          <w:numId w:val="3"/>
        </w:numPr>
        <w:spacing w:before="40" w:after="40"/>
      </w:pPr>
      <w:r>
        <w:rPr>
          <w:rFonts w:ascii="Arial" w:cs="Arial" w:eastAsia="Arial" w:hAnsi="Arial"/>
          <w:b/>
          <w:bCs/>
          <w:sz w:val="22"/>
          <w:szCs w:val="22"/>
        </w:rPr>
        <w:t xml:space="preserve">Vendor-Specific Requirements: </w:t>
      </w:r>
      <w:r>
        <w:rPr>
          <w:rFonts w:ascii="Arial" w:cs="Arial" w:eastAsia="Arial" w:hAnsi="Arial"/>
          <w:sz w:val="22"/>
          <w:szCs w:val="22"/>
        </w:rPr>
        <w:t xml:space="preserve">Tailored security, compliance, and operational requirements applied based on vendor tier classification, data sensitivity, and regulatory context. Maintained by the Operational TPRM Team.</w:t>
      </w:r>
    </w:p>
    <w:p>
      <w:pPr>
        <w:pStyle w:val="ListParagraph"/>
        <w:numPr>
          <w:ilvl w:val="0"/>
          <w:numId w:val="3"/>
        </w:numPr>
        <w:spacing w:before="40" w:after="40"/>
      </w:pPr>
      <w:r>
        <w:rPr>
          <w:rFonts w:ascii="Arial" w:cs="Arial" w:eastAsia="Arial" w:hAnsi="Arial"/>
          <w:b/>
          <w:bCs/>
          <w:sz w:val="22"/>
          <w:szCs w:val="22"/>
        </w:rPr>
        <w:t xml:space="preserve">Exception Management Protocol: </w:t>
      </w:r>
      <w:r>
        <w:rPr>
          <w:rFonts w:ascii="Arial" w:cs="Arial" w:eastAsia="Arial" w:hAnsi="Arial"/>
          <w:sz w:val="22"/>
          <w:szCs w:val="22"/>
        </w:rPr>
        <w:t xml:space="preserve">Formal process for documenting, approving, tracking, and time-limiting exceptions to TPRM policy requirements. Exceptions to Critical-tier vendors require Executive Risk Committee approval.</w:t>
      </w:r>
    </w:p>
    <w:p>
      <w:r>
        <w:br w:type="page"/>
      </w:r>
    </w:p>
    <w:p>
      <w:pPr>
        <w:pStyle w:val="Heading1"/>
        <w:spacing w:before="360" w:after="200"/>
      </w:pPr>
      <w:r>
        <w:rPr>
          <w:rFonts w:ascii="Arial" w:cs="Arial" w:eastAsia="Arial" w:hAnsi="Arial"/>
          <w:b/>
          <w:bCs/>
          <w:color w:val="1B3A5C"/>
          <w:sz w:val="32"/>
          <w:szCs w:val="32"/>
        </w:rPr>
        <w:t xml:space="preserve">V.3 Vendor Intake and Classification Framework</w:t>
      </w:r>
    </w:p>
    <w:p>
      <w:pPr>
        <w:spacing w:before="60" w:after="60"/>
      </w:pPr>
    </w:p>
    <w:p>
      <w:pPr>
        <w:pStyle w:val="Heading2"/>
        <w:spacing w:before="280" w:after="160"/>
      </w:pPr>
      <w:r>
        <w:rPr>
          <w:rFonts w:ascii="Arial" w:cs="Arial" w:eastAsia="Arial" w:hAnsi="Arial"/>
          <w:b/>
          <w:bCs/>
          <w:color w:val="2E75B6"/>
          <w:sz w:val="28"/>
          <w:szCs w:val="28"/>
        </w:rPr>
        <w:t xml:space="preserve">V.3.1 Intake Process Overview</w:t>
      </w:r>
    </w:p>
    <w:p>
      <w:pPr>
        <w:spacing w:before="80" w:after="80"/>
      </w:pPr>
      <w:r>
        <w:rPr>
          <w:rFonts w:ascii="Arial" w:cs="Arial" w:eastAsia="Arial" w:hAnsi="Arial"/>
          <w:sz w:val="22"/>
          <w:szCs w:val="22"/>
        </w:rPr>
        <w:t xml:space="preserve">The vendor intake process is the gateway through which all new third-party relationships enter the enterprise ecosystem. No vendor may be engaged, contracted, or integrated without completing the formal intake process. This applies equally to net-new vendor relationships and to existing vendors expanding into new use cases, data categories, or integration patterns.</w:t>
      </w:r>
    </w:p>
    <w:p>
      <w:pPr>
        <w:spacing w:before="80" w:after="80"/>
      </w:pPr>
      <w:r>
        <w:rPr>
          <w:rFonts w:ascii="Arial" w:cs="Arial" w:eastAsia="Arial" w:hAnsi="Arial"/>
          <w:sz w:val="22"/>
          <w:szCs w:val="22"/>
        </w:rPr>
        <w:t xml:space="preserve">The intake process is designed to be efficient for low-risk engagements while providing appropriate rigor for high-risk relationships. AI-powered intake automation reduces manual effort by pre-populating assessment questionnaires, analyzing publicly available vendor intelligence, and recommending preliminary risk tier classifications.</w:t>
      </w:r>
    </w:p>
    <w:p>
      <w:pPr>
        <w:spacing w:before="60" w:after="60"/>
      </w:pPr>
    </w:p>
    <w:p>
      <w:pPr>
        <w:pStyle w:val="Heading2"/>
        <w:spacing w:before="280" w:after="160"/>
      </w:pPr>
      <w:r>
        <w:rPr>
          <w:rFonts w:ascii="Arial" w:cs="Arial" w:eastAsia="Arial" w:hAnsi="Arial"/>
          <w:b/>
          <w:bCs/>
          <w:color w:val="2E75B6"/>
          <w:sz w:val="28"/>
          <w:szCs w:val="28"/>
        </w:rPr>
        <w:t xml:space="preserve">V.3.2 Intake Workflow Stages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1600"/>
        <w:gridCol w:w="2000"/>
      </w:tblGrid>
      <w:tr>
        <w:trPr>
          <w:tblHeader/>
        </w:trPr>
        <w:tc>
          <w:tcPr>
            <w:tcW w:type="dxa" w:w="1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Stage</w:t>
            </w:r>
          </w:p>
        </w:tc>
        <w:tc>
          <w:tcPr>
            <w:tcW w:type="dxa" w:w="41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Activities</w:t>
            </w:r>
          </w:p>
        </w:tc>
        <w:tc>
          <w:tcPr>
            <w:tcW w:type="dxa" w:w="1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SLA</w:t>
            </w:r>
          </w:p>
        </w:tc>
        <w:tc>
          <w:tcPr>
            <w:tcW w:type="dxa" w:w="2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1. Request Submission</w:t>
            </w:r>
          </w:p>
        </w:tc>
        <w:tc>
          <w:tcPr>
            <w:tcW w:type="dxa" w:w="4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Business owner submits vendor intake request via governance portal specifying use case, data types, integration requirements, and business justification</w:t>
            </w:r>
          </w:p>
        </w:tc>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Immediate (self-service)</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Intake ticket created</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2. AI Pre-Screening</w:t>
            </w:r>
          </w:p>
        </w:tc>
        <w:tc>
          <w:tcPr>
            <w:tcW w:type="dxa" w:w="41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Automated analysis of vendor reputation, financial health indicators, known security incidents, regulatory actions, and preliminary risk signals</w:t>
            </w:r>
          </w:p>
        </w:tc>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4 hours</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Pre-screening risk brief</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3. Tier Classification</w:t>
            </w:r>
          </w:p>
        </w:tc>
        <w:tc>
          <w:tcPr>
            <w:tcW w:type="dxa" w:w="4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Risk-based classification into Critical, High, Medium, or Low tier based on data sensitivity, integration depth, business criticality, and regulatory exposure</w:t>
            </w:r>
          </w:p>
        </w:tc>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1 business day</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Assigned risk tier</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4. Assessment Scoping</w:t>
            </w:r>
          </w:p>
        </w:tc>
        <w:tc>
          <w:tcPr>
            <w:tcW w:type="dxa" w:w="41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Determination of required assessment activities based on tier classification including questionnaire depth, evidence requirements, and technical testing scope</w:t>
            </w:r>
          </w:p>
        </w:tc>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1 business day</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Assessment plan</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5. Assessment Execution</w:t>
            </w:r>
          </w:p>
        </w:tc>
        <w:tc>
          <w:tcPr>
            <w:tcW w:type="dxa" w:w="4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Completion of all required due diligence activities including security questionnaire, document review, technical assessment, and reference checks</w:t>
            </w:r>
          </w:p>
        </w:tc>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Varies by tier (5-30 business days)</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Assessment report</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6. Risk Adjudication</w:t>
            </w:r>
          </w:p>
        </w:tc>
        <w:tc>
          <w:tcPr>
            <w:tcW w:type="dxa" w:w="41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Review of assessment findings, identification of residual risks, determination of risk acceptability, and conditions for approval</w:t>
            </w:r>
          </w:p>
        </w:tc>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3 business days</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Risk decision memo</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7. Approval &amp; Onboarding</w:t>
            </w:r>
          </w:p>
        </w:tc>
        <w:tc>
          <w:tcPr>
            <w:tcW w:type="dxa" w:w="4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Formal approval, contract execution, technical onboarding, integration configuration, and monitoring enrollment</w:t>
            </w:r>
          </w:p>
        </w:tc>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5 business days</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Active vendor record</w:t>
            </w:r>
          </w:p>
        </w:tc>
      </w:tr>
    </w:tbl>
    <w:p>
      <w:pPr>
        <w:spacing w:before="60" w:after="60"/>
      </w:pPr>
    </w:p>
    <w:p>
      <w:pPr>
        <w:pStyle w:val="Heading2"/>
        <w:spacing w:before="280" w:after="160"/>
      </w:pPr>
      <w:r>
        <w:rPr>
          <w:rFonts w:ascii="Arial" w:cs="Arial" w:eastAsia="Arial" w:hAnsi="Arial"/>
          <w:b/>
          <w:bCs/>
          <w:color w:val="2E75B6"/>
          <w:sz w:val="28"/>
          <w:szCs w:val="28"/>
        </w:rPr>
        <w:t xml:space="preserve">V.3.3 Vendor Tier Classification Model</w:t>
      </w:r>
    </w:p>
    <w:p>
      <w:pPr>
        <w:spacing w:before="80" w:after="80"/>
      </w:pPr>
      <w:r>
        <w:rPr>
          <w:rFonts w:ascii="Arial" w:cs="Arial" w:eastAsia="Arial" w:hAnsi="Arial"/>
          <w:sz w:val="22"/>
          <w:szCs w:val="22"/>
        </w:rPr>
        <w:t xml:space="preserve">All third-party relationships are classified into one of four risk tiers based on a multi-dimensional assessment of potential impact. Tier classification determines the depth of due diligence, ongoing monitoring frequency, contractual requirements, and governance oversight levels.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60"/>
        <w:gridCol w:w="2200"/>
        <w:gridCol w:w="2000"/>
        <w:gridCol w:w="1800"/>
      </w:tblGrid>
      <w:tr>
        <w:trPr>
          <w:tblHeader/>
        </w:trPr>
        <w:tc>
          <w:tcPr>
            <w:tcW w:type="dxa" w:w="1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Tier</w:t>
            </w:r>
          </w:p>
        </w:tc>
        <w:tc>
          <w:tcPr>
            <w:tcW w:type="dxa" w:w="23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Criteria</w:t>
            </w:r>
          </w:p>
        </w:tc>
        <w:tc>
          <w:tcPr>
            <w:tcW w:type="dxa" w:w="2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Assessment Depth</w:t>
            </w:r>
          </w:p>
        </w:tc>
        <w:tc>
          <w:tcPr>
            <w:tcW w:type="dxa" w:w="2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Monitoring Frequency</w:t>
            </w:r>
          </w:p>
        </w:tc>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Approval Authority</w:t>
            </w:r>
          </w:p>
        </w:tc>
      </w:tr>
      <w:tr>
        <w:tc>
          <w:tcPr>
            <w:tcW w:type="dxa" w:w="1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color w:val="991B1B"/>
                <w:sz w:val="20"/>
                <w:szCs w:val="20"/>
              </w:rPr>
              <w:t xml:space="preserve">Critical</w:t>
            </w:r>
          </w:p>
        </w:tc>
        <w:tc>
          <w:tcPr>
            <w:tcW w:type="dxa" w:w="2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Processes regulated or highly sensitive data; single point of failure for core business processes; deep infrastructure integration; regulatory significance</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Full assessment: security questionnaire, penetration test review, SOC 2 Type II, on-site/virtual audit, architecture review, BCP/DR validation</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Continuous automated monitoring + quarterly manual review</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Executive Risk Committee</w:t>
            </w:r>
          </w:p>
        </w:tc>
      </w:tr>
      <w:tr>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b/>
                <w:bCs/>
                <w:color w:val="92400E"/>
                <w:sz w:val="20"/>
                <w:szCs w:val="20"/>
              </w:rPr>
              <w:t xml:space="preserve">High</w:t>
            </w:r>
          </w:p>
        </w:tc>
        <w:tc>
          <w:tcPr>
            <w:tcW w:type="dxa" w:w="2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Accesses confidential data; supports significant business processes; moderate integration complexity; handles customer-facing functions</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Enhanced assessment: security questionnaire, SOC 2 Type II or equivalent, vulnerability scan review, architecture review</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Continuous automated monitoring + semi-annual manual review</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TPRM Steering Council</w:t>
            </w:r>
          </w:p>
        </w:tc>
      </w:tr>
      <w:tr>
        <w:tc>
          <w:tcPr>
            <w:tcW w:type="dxa" w:w="1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color w:val="1B5E20"/>
                <w:sz w:val="20"/>
                <w:szCs w:val="20"/>
              </w:rPr>
              <w:t xml:space="preserve">Medium</w:t>
            </w:r>
          </w:p>
        </w:tc>
        <w:tc>
          <w:tcPr>
            <w:tcW w:type="dxa" w:w="2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Accesses internal non-sensitive data; supports operational processes; limited integration; no direct customer data exposure</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Standard assessment: security questionnaire, certification review, policy document review</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Quarterly automated scan + annual manual review</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Vendor Management Director</w:t>
            </w:r>
          </w:p>
        </w:tc>
      </w:tr>
      <w:tr>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b/>
                <w:bCs/>
                <w:color w:val="5B21B6"/>
                <w:sz w:val="20"/>
                <w:szCs w:val="20"/>
              </w:rPr>
              <w:t xml:space="preserve">Low</w:t>
            </w:r>
          </w:p>
        </w:tc>
        <w:tc>
          <w:tcPr>
            <w:tcW w:type="dxa" w:w="2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No data access; commodity service; easily replaceable; minimal integration; no regulatory exposure</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Streamlined assessment: self-attestation questionnaire, public intelligence review</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Annual automated scan</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Operational TPRM Team Lead</w:t>
            </w:r>
          </w:p>
        </w:tc>
      </w:tr>
    </w:tbl>
    <w:p>
      <w:pPr>
        <w:spacing w:before="60" w:after="60"/>
      </w:pPr>
    </w:p>
    <w:p>
      <w:pPr>
        <w:pStyle w:val="Heading2"/>
        <w:spacing w:before="280" w:after="160"/>
      </w:pPr>
      <w:r>
        <w:rPr>
          <w:rFonts w:ascii="Arial" w:cs="Arial" w:eastAsia="Arial" w:hAnsi="Arial"/>
          <w:b/>
          <w:bCs/>
          <w:color w:val="2E75B6"/>
          <w:sz w:val="28"/>
          <w:szCs w:val="28"/>
        </w:rPr>
        <w:t xml:space="preserve">V.3.4 Classification Decision Factors</w:t>
      </w:r>
    </w:p>
    <w:p>
      <w:pPr>
        <w:spacing w:before="80" w:after="80"/>
      </w:pPr>
      <w:r>
        <w:rPr>
          <w:rFonts w:ascii="Arial" w:cs="Arial" w:eastAsia="Arial" w:hAnsi="Arial"/>
          <w:sz w:val="22"/>
          <w:szCs w:val="22"/>
        </w:rPr>
        <w:t xml:space="preserve">Tier classification is determined by evaluating the vendor relationship across six weighted dimensions: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Dimension</w:t>
            </w:r>
          </w:p>
        </w:tc>
        <w:tc>
          <w:tcPr>
            <w:tcW w:type="dxa" w:w="1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Weight</w:t>
            </w:r>
          </w:p>
        </w:tc>
        <w:tc>
          <w:tcPr>
            <w:tcW w:type="dxa" w:w="63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Evaluation Criteria</w:t>
            </w:r>
          </w:p>
        </w:tc>
      </w:tr>
      <w:tr>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Data Sensitivity</w:t>
            </w:r>
          </w:p>
        </w:tc>
        <w:tc>
          <w:tcPr>
            <w:tcW w:type="dxa" w:w="1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25%</w:t>
            </w:r>
          </w:p>
        </w:tc>
        <w:tc>
          <w:tcPr>
            <w:tcW w:type="dxa" w:w="6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Classification level of data accessed (PII, PHI, PCI, trade secrets, public); volume of records; data residency requirements</w:t>
            </w:r>
          </w:p>
        </w:tc>
      </w:tr>
      <w:tr>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Business Criticality</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20%</w:t>
            </w:r>
          </w:p>
        </w:tc>
        <w:tc>
          <w:tcPr>
            <w:tcW w:type="dxa" w:w="6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Revenue impact of vendor failure; number of business processes dependent on vendor; availability requirements (uptime SLA)</w:t>
            </w:r>
          </w:p>
        </w:tc>
      </w:tr>
      <w:tr>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Integration Depth</w:t>
            </w:r>
          </w:p>
        </w:tc>
        <w:tc>
          <w:tcPr>
            <w:tcW w:type="dxa" w:w="1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20%</w:t>
            </w:r>
          </w:p>
        </w:tc>
        <w:tc>
          <w:tcPr>
            <w:tcW w:type="dxa" w:w="6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API integration complexity; network connectivity (VPN, direct connect); authentication integration (SSO/SAML); data flow bidirectionality</w:t>
            </w:r>
          </w:p>
        </w:tc>
      </w:tr>
      <w:tr>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Regulatory Exposure</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15%</w:t>
            </w:r>
          </w:p>
        </w:tc>
        <w:tc>
          <w:tcPr>
            <w:tcW w:type="dxa" w:w="6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Applicable regulatory frameworks; audit requirements; data sovereignty mandates; sector-specific compliance obligations</w:t>
            </w:r>
          </w:p>
        </w:tc>
      </w:tr>
      <w:tr>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Replaceability</w:t>
            </w:r>
          </w:p>
        </w:tc>
        <w:tc>
          <w:tcPr>
            <w:tcW w:type="dxa" w:w="1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10%</w:t>
            </w:r>
          </w:p>
        </w:tc>
        <w:tc>
          <w:tcPr>
            <w:tcW w:type="dxa" w:w="6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Availability of alternative vendors; migration complexity; proprietary lock-in factors; switching costs</w:t>
            </w:r>
          </w:p>
        </w:tc>
      </w:tr>
      <w:tr>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Financial Stability</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6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Vendor financial health; market position; dependency on key personnel; geographic and geopolitical risk factors</w:t>
            </w:r>
          </w:p>
        </w:tc>
      </w:tr>
    </w:tbl>
    <w:p>
      <w:r>
        <w:br w:type="page"/>
      </w:r>
    </w:p>
    <w:p>
      <w:pPr>
        <w:pStyle w:val="Heading1"/>
        <w:spacing w:before="360" w:after="200"/>
      </w:pPr>
      <w:r>
        <w:rPr>
          <w:rFonts w:ascii="Arial" w:cs="Arial" w:eastAsia="Arial" w:hAnsi="Arial"/>
          <w:b/>
          <w:bCs/>
          <w:color w:val="1B3A5C"/>
          <w:sz w:val="32"/>
          <w:szCs w:val="32"/>
        </w:rPr>
        <w:t xml:space="preserve">V.4 Risk Assessment and Due Diligence Methodology</w:t>
      </w:r>
    </w:p>
    <w:p>
      <w:pPr>
        <w:spacing w:before="60" w:after="60"/>
      </w:pPr>
    </w:p>
    <w:p>
      <w:pPr>
        <w:pStyle w:val="Heading2"/>
        <w:spacing w:before="280" w:after="160"/>
      </w:pPr>
      <w:r>
        <w:rPr>
          <w:rFonts w:ascii="Arial" w:cs="Arial" w:eastAsia="Arial" w:hAnsi="Arial"/>
          <w:b/>
          <w:bCs/>
          <w:color w:val="2E75B6"/>
          <w:sz w:val="28"/>
          <w:szCs w:val="28"/>
        </w:rPr>
        <w:t xml:space="preserve">V.4.1 Assessment Framework Architecture</w:t>
      </w:r>
    </w:p>
    <w:p>
      <w:pPr>
        <w:spacing w:before="80" w:after="80"/>
      </w:pPr>
      <w:r>
        <w:rPr>
          <w:rFonts w:ascii="Arial" w:cs="Arial" w:eastAsia="Arial" w:hAnsi="Arial"/>
          <w:sz w:val="22"/>
          <w:szCs w:val="22"/>
        </w:rPr>
        <w:t xml:space="preserve">The TPRM assessment methodology employs a multi-layered evaluation approach that combines standardized questionnaire-based assessment with technical validation, continuous intelligence gathering, and AI-driven risk analytics. The framework is designed to provide consistent, repeatable, and defensible risk evaluations while minimizing assessment fatigue for both the enterprise and its vendor partners.</w:t>
      </w:r>
    </w:p>
    <w:p>
      <w:pPr>
        <w:spacing w:before="80" w:after="80"/>
      </w:pPr>
      <w:r>
        <w:rPr>
          <w:rFonts w:ascii="Arial" w:cs="Arial" w:eastAsia="Arial" w:hAnsi="Arial"/>
          <w:sz w:val="22"/>
          <w:szCs w:val="22"/>
        </w:rPr>
        <w:t xml:space="preserve">Assessment activities are calibrated to the vendor's tier classification, with Critical and High-tier vendors subject to comprehensive evaluation across all risk domains and Lower-tier vendors receiving appropriately scoped assessments that balance thoroughness with efficiency.</w:t>
      </w:r>
    </w:p>
    <w:p>
      <w:pPr>
        <w:spacing w:before="60" w:after="60"/>
      </w:pPr>
    </w:p>
    <w:p>
      <w:pPr>
        <w:pStyle w:val="Heading2"/>
        <w:spacing w:before="280" w:after="160"/>
      </w:pPr>
      <w:r>
        <w:rPr>
          <w:rFonts w:ascii="Arial" w:cs="Arial" w:eastAsia="Arial" w:hAnsi="Arial"/>
          <w:b/>
          <w:bCs/>
          <w:color w:val="2E75B6"/>
          <w:sz w:val="28"/>
          <w:szCs w:val="28"/>
        </w:rPr>
        <w:t xml:space="preserve">V.4.2 Risk Domain Assessment Matrix</w:t>
      </w:r>
    </w:p>
    <w:p>
      <w:pPr>
        <w:spacing w:before="80" w:after="80"/>
      </w:pPr>
      <w:r>
        <w:rPr>
          <w:rFonts w:ascii="Arial" w:cs="Arial" w:eastAsia="Arial" w:hAnsi="Arial"/>
          <w:sz w:val="22"/>
          <w:szCs w:val="22"/>
        </w:rPr>
        <w:t xml:space="preserve">Every vendor assessment evaluates risk across twelve standardized domains. The depth of evaluation within each domain varies by vendor tier: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900"/>
        <w:gridCol w:w="1800"/>
        <w:gridCol w:w="1760"/>
      </w:tblGrid>
      <w:tr>
        <w:trPr>
          <w:tblHeader/>
        </w:trPr>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 Domain</w:t>
            </w:r>
          </w:p>
        </w:tc>
        <w:tc>
          <w:tcPr>
            <w:tcW w:type="dxa" w:w="21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Critical Tier</w:t>
            </w:r>
          </w:p>
        </w:tc>
        <w:tc>
          <w:tcPr>
            <w:tcW w:type="dxa" w:w="19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High Tier</w:t>
            </w:r>
          </w:p>
        </w:tc>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Medium Tier</w:t>
            </w:r>
          </w:p>
        </w:tc>
        <w:tc>
          <w:tcPr>
            <w:tcW w:type="dxa" w:w="17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Low Tier</w:t>
            </w:r>
          </w:p>
        </w:tc>
      </w:tr>
      <w:tr>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Information Security</w:t>
            </w:r>
          </w:p>
        </w:tc>
        <w:tc>
          <w:tcPr>
            <w:tcW w:type="dxa" w:w="21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Full audit + pen test review</w:t>
            </w:r>
          </w:p>
        </w:tc>
        <w:tc>
          <w:tcPr>
            <w:tcW w:type="dxa" w:w="19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Enhanced questionnaire + cert review</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Standard questionnaire</w:t>
            </w:r>
          </w:p>
        </w:tc>
        <w:tc>
          <w:tcPr>
            <w:tcW w:type="dxa" w:w="1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Self-attestation</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Data Privacy &amp; Protection</w:t>
            </w:r>
          </w:p>
        </w:tc>
        <w:tc>
          <w:tcPr>
            <w:tcW w:type="dxa" w:w="21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Full DPA + data flow mapping + privacy impact assessment</w:t>
            </w:r>
          </w:p>
        </w:tc>
        <w:tc>
          <w:tcPr>
            <w:tcW w:type="dxa" w:w="1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DPA + data flow review</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DPA + questionnaire</w:t>
            </w:r>
          </w:p>
        </w:tc>
        <w:tc>
          <w:tcPr>
            <w:tcW w:type="dxa" w:w="1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Standard DPA</w:t>
            </w:r>
          </w:p>
        </w:tc>
      </w:tr>
      <w:tr>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Business Continuity / DR</w:t>
            </w:r>
          </w:p>
        </w:tc>
        <w:tc>
          <w:tcPr>
            <w:tcW w:type="dxa" w:w="21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BCP/DR plan review + RTO/RPO validation + failover testing evidence</w:t>
            </w:r>
          </w:p>
        </w:tc>
        <w:tc>
          <w:tcPr>
            <w:tcW w:type="dxa" w:w="19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BCP/DR plan review + RTO/RPO verification</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BCP/DR questionnaire</w:t>
            </w:r>
          </w:p>
        </w:tc>
        <w:tc>
          <w:tcPr>
            <w:tcW w:type="dxa" w:w="1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N/A</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Financial Viability</w:t>
            </w:r>
          </w:p>
        </w:tc>
        <w:tc>
          <w:tcPr>
            <w:tcW w:type="dxa" w:w="21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Audited financials + credit analysis + escrow provisions</w:t>
            </w:r>
          </w:p>
        </w:tc>
        <w:tc>
          <w:tcPr>
            <w:tcW w:type="dxa" w:w="1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Financial questionnaire + credit check</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Credit check</w:t>
            </w:r>
          </w:p>
        </w:tc>
        <w:tc>
          <w:tcPr>
            <w:tcW w:type="dxa" w:w="1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Basic check</w:t>
            </w:r>
          </w:p>
        </w:tc>
      </w:tr>
      <w:tr>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Regulatory Compliance</w:t>
            </w:r>
          </w:p>
        </w:tc>
        <w:tc>
          <w:tcPr>
            <w:tcW w:type="dxa" w:w="21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Full compliance audit + regulatory mapping + evidence review</w:t>
            </w:r>
          </w:p>
        </w:tc>
        <w:tc>
          <w:tcPr>
            <w:tcW w:type="dxa" w:w="19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Certification review + compliance questionnaire</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Certification verification</w:t>
            </w:r>
          </w:p>
        </w:tc>
        <w:tc>
          <w:tcPr>
            <w:tcW w:type="dxa" w:w="1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Self-attestation</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Operational Resilience</w:t>
            </w:r>
          </w:p>
        </w:tc>
        <w:tc>
          <w:tcPr>
            <w:tcW w:type="dxa" w:w="21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SLA validation + capacity planning review + incident history analysis</w:t>
            </w:r>
          </w:p>
        </w:tc>
        <w:tc>
          <w:tcPr>
            <w:tcW w:type="dxa" w:w="1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SLA review + incident history</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SLA review</w:t>
            </w:r>
          </w:p>
        </w:tc>
        <w:tc>
          <w:tcPr>
            <w:tcW w:type="dxa" w:w="1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N/A</w:t>
            </w:r>
          </w:p>
        </w:tc>
      </w:tr>
      <w:tr>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Access Management</w:t>
            </w:r>
          </w:p>
        </w:tc>
        <w:tc>
          <w:tcPr>
            <w:tcW w:type="dxa" w:w="21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IAM architecture review + privileged access audit + MFA validation</w:t>
            </w:r>
          </w:p>
        </w:tc>
        <w:tc>
          <w:tcPr>
            <w:tcW w:type="dxa" w:w="19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Access control questionnaire + MFA verification</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Access questionnaire</w:t>
            </w:r>
          </w:p>
        </w:tc>
        <w:tc>
          <w:tcPr>
            <w:tcW w:type="dxa" w:w="1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N/A</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Change Management</w:t>
            </w:r>
          </w:p>
        </w:tc>
        <w:tc>
          <w:tcPr>
            <w:tcW w:type="dxa" w:w="21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SDLC review + change control audit + deployment practices</w:t>
            </w:r>
          </w:p>
        </w:tc>
        <w:tc>
          <w:tcPr>
            <w:tcW w:type="dxa" w:w="1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Change management questionnaire</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Questionnaire</w:t>
            </w:r>
          </w:p>
        </w:tc>
        <w:tc>
          <w:tcPr>
            <w:tcW w:type="dxa" w:w="1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N/A</w:t>
            </w:r>
          </w:p>
        </w:tc>
      </w:tr>
      <w:tr>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Subcontractor/4th Party</w:t>
            </w:r>
          </w:p>
        </w:tc>
        <w:tc>
          <w:tcPr>
            <w:tcW w:type="dxa" w:w="21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Full subcontractor mapping + assessment cascade requirements</w:t>
            </w:r>
          </w:p>
        </w:tc>
        <w:tc>
          <w:tcPr>
            <w:tcW w:type="dxa" w:w="19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Subcontractor disclosure + key sub assessment</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Subcontractor disclosure</w:t>
            </w:r>
          </w:p>
        </w:tc>
        <w:tc>
          <w:tcPr>
            <w:tcW w:type="dxa" w:w="1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N/A</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Physical Security</w:t>
            </w:r>
          </w:p>
        </w:tc>
        <w:tc>
          <w:tcPr>
            <w:tcW w:type="dxa" w:w="21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Site assessment (virtual or on-site) + data center certification</w:t>
            </w:r>
          </w:p>
        </w:tc>
        <w:tc>
          <w:tcPr>
            <w:tcW w:type="dxa" w:w="1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Data center certification review</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Questionnaire</w:t>
            </w:r>
          </w:p>
        </w:tc>
        <w:tc>
          <w:tcPr>
            <w:tcW w:type="dxa" w:w="1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N/A</w:t>
            </w:r>
          </w:p>
        </w:tc>
      </w:tr>
      <w:tr>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Legal &amp; Contractual</w:t>
            </w:r>
          </w:p>
        </w:tc>
        <w:tc>
          <w:tcPr>
            <w:tcW w:type="dxa" w:w="21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Full contract review + IP analysis + liability assessment</w:t>
            </w:r>
          </w:p>
        </w:tc>
        <w:tc>
          <w:tcPr>
            <w:tcW w:type="dxa" w:w="19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Contract review + key terms validation</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Standard contract</w:t>
            </w:r>
          </w:p>
        </w:tc>
        <w:tc>
          <w:tcPr>
            <w:tcW w:type="dxa" w:w="1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Standard terms</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Concentration Risk</w:t>
            </w:r>
          </w:p>
        </w:tc>
        <w:tc>
          <w:tcPr>
            <w:tcW w:type="dxa" w:w="21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Dependency analysis + market alternatives assessment + exit feasibility</w:t>
            </w:r>
          </w:p>
        </w:tc>
        <w:tc>
          <w:tcPr>
            <w:tcW w:type="dxa" w:w="1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Dependency questionnaire</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Basic assessment</w:t>
            </w:r>
          </w:p>
        </w:tc>
        <w:tc>
          <w:tcPr>
            <w:tcW w:type="dxa" w:w="1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N/A</w:t>
            </w:r>
          </w:p>
        </w:tc>
      </w:tr>
    </w:tbl>
    <w:p>
      <w:pPr>
        <w:spacing w:before="60" w:after="60"/>
      </w:pPr>
    </w:p>
    <w:p>
      <w:pPr>
        <w:pStyle w:val="Heading2"/>
        <w:spacing w:before="280" w:after="160"/>
      </w:pPr>
      <w:r>
        <w:rPr>
          <w:rFonts w:ascii="Arial" w:cs="Arial" w:eastAsia="Arial" w:hAnsi="Arial"/>
          <w:b/>
          <w:bCs/>
          <w:color w:val="2E75B6"/>
          <w:sz w:val="28"/>
          <w:szCs w:val="28"/>
        </w:rPr>
        <w:t xml:space="preserve">V.4.3 Quantitative Risk Scoring Model</w:t>
      </w:r>
    </w:p>
    <w:p>
      <w:pPr>
        <w:spacing w:before="80" w:after="80"/>
      </w:pPr>
      <w:r>
        <w:rPr>
          <w:rFonts w:ascii="Arial" w:cs="Arial" w:eastAsia="Arial" w:hAnsi="Arial"/>
          <w:sz w:val="22"/>
          <w:szCs w:val="22"/>
        </w:rPr>
        <w:t xml:space="preserve">The TPRM framework employs a quantitative risk scoring model that transforms qualitative assessment findings into actionable numerical scores. The Vendor Risk Score (VRS) provides a standardized metric for comparing risk across vendors and tracking risk trends over time.</w:t>
      </w:r>
    </w:p>
    <w:p>
      <w:pPr>
        <w:spacing w:before="60" w:after="60"/>
      </w:pPr>
    </w:p>
    <w:p>
      <w:pPr>
        <w:pStyle w:val="Heading3"/>
        <w:spacing w:before="200" w:after="120"/>
      </w:pPr>
      <w:r>
        <w:rPr>
          <w:rFonts w:ascii="Arial" w:cs="Arial" w:eastAsia="Arial" w:hAnsi="Arial"/>
          <w:b/>
          <w:bCs/>
          <w:color w:val="1B3A5C"/>
          <w:sz w:val="24"/>
          <w:szCs w:val="24"/>
        </w:rPr>
        <w:t xml:space="preserve">VRS Calculation Methodology</w:t>
      </w:r>
    </w:p>
    <w:p>
      <w:pPr>
        <w:spacing w:before="80" w:after="80"/>
      </w:pPr>
      <w:r>
        <w:rPr>
          <w:rFonts w:ascii="Arial" w:cs="Arial" w:eastAsia="Arial" w:hAnsi="Arial"/>
          <w:sz w:val="22"/>
          <w:szCs w:val="22"/>
        </w:rPr>
        <w:t xml:space="preserve">The Vendor Risk Score is calculated as a weighted composite of individual domain scores:</w:t>
      </w:r>
    </w:p>
    <w:p>
      <w:pPr>
        <w:spacing w:before="60" w:after="60"/>
      </w:pPr>
    </w:p>
    <w:p>
      <w:pPr>
        <w:spacing w:before="80" w:after="80"/>
      </w:pPr>
      <w:r>
        <w:rPr>
          <w:rFonts w:ascii="Arial" w:cs="Arial" w:eastAsia="Arial" w:hAnsi="Arial"/>
          <w:b/>
          <w:bCs/>
          <w:sz w:val="22"/>
          <w:szCs w:val="22"/>
        </w:rPr>
        <w:t xml:space="preserve">VRS = </w:t>
      </w:r>
      <w:r>
        <w:rPr>
          <w:rFonts w:ascii="Arial" w:cs="Arial" w:eastAsia="Arial" w:hAnsi="Arial"/>
          <w:sz w:val="22"/>
          <w:szCs w:val="22"/>
        </w:rPr>
        <w:t xml:space="preserve">Σ (Domain Score × Domain Weight × Tier Adjustment Factor)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1800"/>
      </w:tblGrid>
      <w:tr>
        <w:trPr>
          <w:tblHeader/>
        </w:trPr>
        <w:tc>
          <w:tcPr>
            <w:tcW w:type="dxa" w:w="1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VRS Range</w:t>
            </w:r>
          </w:p>
        </w:tc>
        <w:tc>
          <w:tcPr>
            <w:tcW w:type="dxa" w:w="1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 Rating</w:t>
            </w:r>
          </w:p>
        </w:tc>
        <w:tc>
          <w:tcPr>
            <w:tcW w:type="dxa" w:w="47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Required</w:t>
            </w:r>
          </w:p>
        </w:tc>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Review Cycle</w:t>
            </w:r>
          </w:p>
        </w:tc>
      </w:tr>
      <w:tr>
        <w:tc>
          <w:tcPr>
            <w:tcW w:type="dxa" w:w="1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0 - 25</w:t>
            </w:r>
          </w:p>
        </w:tc>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Low Risk</w:t>
            </w:r>
          </w:p>
        </w:tc>
        <w:tc>
          <w:tcPr>
            <w:tcW w:type="dxa" w:w="4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Standard monitoring; no additional actions required</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Per tier schedule</w:t>
            </w:r>
          </w:p>
        </w:tc>
      </w:tr>
      <w:tr>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26 - 50</w:t>
            </w:r>
          </w:p>
        </w:tc>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Moderate Risk</w:t>
            </w:r>
          </w:p>
        </w:tc>
        <w:tc>
          <w:tcPr>
            <w:tcW w:type="dxa" w:w="4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Enhanced monitoring; risk mitigation plan recommended</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Accelerated by one level</w:t>
            </w:r>
          </w:p>
        </w:tc>
      </w:tr>
      <w:tr>
        <w:tc>
          <w:tcPr>
            <w:tcW w:type="dxa" w:w="1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51 - 75</w:t>
            </w:r>
          </w:p>
        </w:tc>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High Risk</w:t>
            </w:r>
          </w:p>
        </w:tc>
        <w:tc>
          <w:tcPr>
            <w:tcW w:type="dxa" w:w="4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Mandatory risk mitigation plan with defined milestones; executive notification</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Quarterly minimum</w:t>
            </w:r>
          </w:p>
        </w:tc>
      </w:tr>
      <w:tr>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76 - 100</w:t>
            </w:r>
          </w:p>
        </w:tc>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Critical Risk</w:t>
            </w:r>
          </w:p>
        </w:tc>
        <w:tc>
          <w:tcPr>
            <w:tcW w:type="dxa" w:w="4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Immediate escalation; remediation plan required within 30 days; executive approval for continued engagement; exit planning initiated</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Monthly minimum</w:t>
            </w:r>
          </w:p>
        </w:tc>
      </w:tr>
    </w:tbl>
    <w:p>
      <w:pPr>
        <w:spacing w:before="60" w:after="60"/>
      </w:pPr>
    </w:p>
    <w:p>
      <w:pPr>
        <w:pStyle w:val="Heading2"/>
        <w:spacing w:before="280" w:after="160"/>
      </w:pPr>
      <w:r>
        <w:rPr>
          <w:rFonts w:ascii="Arial" w:cs="Arial" w:eastAsia="Arial" w:hAnsi="Arial"/>
          <w:b/>
          <w:bCs/>
          <w:color w:val="2E75B6"/>
          <w:sz w:val="28"/>
          <w:szCs w:val="28"/>
        </w:rPr>
        <w:t xml:space="preserve">V.4.4 Evidence Collection and Validation</w:t>
      </w:r>
    </w:p>
    <w:p>
      <w:pPr>
        <w:spacing w:before="80" w:after="80"/>
      </w:pPr>
      <w:r>
        <w:rPr>
          <w:rFonts w:ascii="Arial" w:cs="Arial" w:eastAsia="Arial" w:hAnsi="Arial"/>
          <w:sz w:val="22"/>
          <w:szCs w:val="22"/>
        </w:rPr>
        <w:t xml:space="preserve">Assessment rigor depends not only on asking the right questions but on validating responses with appropriate evidence. The TPRM framework defines minimum evidence requirements for each vendor tier:</w:t>
      </w:r>
    </w:p>
    <w:p>
      <w:pPr>
        <w:pStyle w:val="ListParagraph"/>
        <w:numPr>
          <w:ilvl w:val="0"/>
          <w:numId w:val="2"/>
        </w:numPr>
        <w:spacing w:before="40" w:after="40"/>
      </w:pPr>
      <w:r>
        <w:rPr>
          <w:rFonts w:ascii="Arial" w:cs="Arial" w:eastAsia="Arial" w:hAnsi="Arial"/>
          <w:b/>
          <w:bCs/>
          <w:sz w:val="22"/>
          <w:szCs w:val="22"/>
        </w:rPr>
        <w:t xml:space="preserve">Critical Tier Evidence Requirements: </w:t>
      </w:r>
      <w:r>
        <w:rPr>
          <w:rFonts w:ascii="Arial" w:cs="Arial" w:eastAsia="Arial" w:hAnsi="Arial"/>
          <w:sz w:val="22"/>
          <w:szCs w:val="22"/>
        </w:rPr>
        <w:t xml:space="preserve">SOC 2 Type II report (current year), independent penetration test results, BCP/DR test results, audited financial statements, regulatory examination results, insurance certificates, data flow diagrams, architecture documentation, and incident response plan</w:t>
      </w:r>
    </w:p>
    <w:p>
      <w:pPr>
        <w:pStyle w:val="ListParagraph"/>
        <w:numPr>
          <w:ilvl w:val="0"/>
          <w:numId w:val="2"/>
        </w:numPr>
        <w:spacing w:before="40" w:after="40"/>
      </w:pPr>
      <w:r>
        <w:rPr>
          <w:rFonts w:ascii="Arial" w:cs="Arial" w:eastAsia="Arial" w:hAnsi="Arial"/>
          <w:b/>
          <w:bCs/>
          <w:sz w:val="22"/>
          <w:szCs w:val="22"/>
        </w:rPr>
        <w:t xml:space="preserve">High Tier Evidence Requirements: </w:t>
      </w:r>
      <w:r>
        <w:rPr>
          <w:rFonts w:ascii="Arial" w:cs="Arial" w:eastAsia="Arial" w:hAnsi="Arial"/>
          <w:sz w:val="22"/>
          <w:szCs w:val="22"/>
        </w:rPr>
        <w:t xml:space="preserve">SOC 2 Type II or ISO 27001 certification, vulnerability scan results, BCP/DR plan documentation, financial attestation, compliance certifications, and data processing agreements</w:t>
      </w:r>
    </w:p>
    <w:p>
      <w:pPr>
        <w:pStyle w:val="ListParagraph"/>
        <w:numPr>
          <w:ilvl w:val="0"/>
          <w:numId w:val="2"/>
        </w:numPr>
        <w:spacing w:before="40" w:after="40"/>
      </w:pPr>
      <w:r>
        <w:rPr>
          <w:rFonts w:ascii="Arial" w:cs="Arial" w:eastAsia="Arial" w:hAnsi="Arial"/>
          <w:b/>
          <w:bCs/>
          <w:sz w:val="22"/>
          <w:szCs w:val="22"/>
        </w:rPr>
        <w:t xml:space="preserve">Medium Tier Evidence Requirements: </w:t>
      </w:r>
      <w:r>
        <w:rPr>
          <w:rFonts w:ascii="Arial" w:cs="Arial" w:eastAsia="Arial" w:hAnsi="Arial"/>
          <w:sz w:val="22"/>
          <w:szCs w:val="22"/>
        </w:rPr>
        <w:t xml:space="preserve">Relevant certifications (SOC 2, ISO 27001, or equivalent), completed security questionnaire, privacy policy, and standard data processing agreement</w:t>
      </w:r>
    </w:p>
    <w:p>
      <w:pPr>
        <w:pStyle w:val="ListParagraph"/>
        <w:numPr>
          <w:ilvl w:val="0"/>
          <w:numId w:val="2"/>
        </w:numPr>
        <w:spacing w:before="40" w:after="40"/>
      </w:pPr>
      <w:r>
        <w:rPr>
          <w:rFonts w:ascii="Arial" w:cs="Arial" w:eastAsia="Arial" w:hAnsi="Arial"/>
          <w:b/>
          <w:bCs/>
          <w:sz w:val="22"/>
          <w:szCs w:val="22"/>
        </w:rPr>
        <w:t xml:space="preserve">Low Tier Evidence Requirements: </w:t>
      </w:r>
      <w:r>
        <w:rPr>
          <w:rFonts w:ascii="Arial" w:cs="Arial" w:eastAsia="Arial" w:hAnsi="Arial"/>
          <w:sz w:val="22"/>
          <w:szCs w:val="22"/>
        </w:rPr>
        <w:t xml:space="preserve">Completed self-attestation questionnaire and publicly available security documentation</w:t>
      </w:r>
    </w:p>
    <w:p>
      <w:r>
        <w:br w:type="page"/>
      </w:r>
    </w:p>
    <w:p>
      <w:pPr>
        <w:pStyle w:val="Heading1"/>
        <w:spacing w:before="360" w:after="200"/>
      </w:pPr>
      <w:r>
        <w:rPr>
          <w:rFonts w:ascii="Arial" w:cs="Arial" w:eastAsia="Arial" w:hAnsi="Arial"/>
          <w:b/>
          <w:bCs/>
          <w:color w:val="1B3A5C"/>
          <w:sz w:val="32"/>
          <w:szCs w:val="32"/>
        </w:rPr>
        <w:t xml:space="preserve">V.5 AI-Enhanced Vendor Evaluation and Continuous Intelligence</w:t>
      </w:r>
    </w:p>
    <w:p>
      <w:pPr>
        <w:spacing w:before="60" w:after="60"/>
      </w:pPr>
    </w:p>
    <w:p>
      <w:pPr>
        <w:pStyle w:val="Heading2"/>
        <w:spacing w:before="280" w:after="160"/>
      </w:pPr>
      <w:r>
        <w:rPr>
          <w:rFonts w:ascii="Arial" w:cs="Arial" w:eastAsia="Arial" w:hAnsi="Arial"/>
          <w:b/>
          <w:bCs/>
          <w:color w:val="2E75B6"/>
          <w:sz w:val="28"/>
          <w:szCs w:val="28"/>
        </w:rPr>
        <w:t xml:space="preserve">V.5.1 AI-Powered Assessment Automation</w:t>
      </w:r>
    </w:p>
    <w:p>
      <w:pPr>
        <w:spacing w:before="80" w:after="80"/>
      </w:pPr>
      <w:r>
        <w:rPr>
          <w:rFonts w:ascii="Arial" w:cs="Arial" w:eastAsia="Arial" w:hAnsi="Arial"/>
          <w:sz w:val="22"/>
          <w:szCs w:val="22"/>
        </w:rPr>
        <w:t xml:space="preserve">The TPRM framework leverages artificial intelligence across the entire vendor evaluation lifecycle to increase assessment quality, reduce cycle times, and enable continuous risk monitoring at scale. AI capabilities are deployed across four primary functional areas: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200"/>
        <w:gridCol w:w="1800"/>
      </w:tblGrid>
      <w:tr>
        <w:trPr>
          <w:tblHeader/>
        </w:trPr>
        <w:tc>
          <w:tcPr>
            <w:tcW w:type="dxa" w:w="2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AI Capability</w:t>
            </w:r>
          </w:p>
        </w:tc>
        <w:tc>
          <w:tcPr>
            <w:tcW w:type="dxa" w:w="33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Function</w:t>
            </w:r>
          </w:p>
        </w:tc>
        <w:tc>
          <w:tcPr>
            <w:tcW w:type="dxa" w:w="2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Automation Level</w:t>
            </w:r>
          </w:p>
        </w:tc>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Human Oversight</w:t>
            </w:r>
          </w:p>
        </w:tc>
      </w:tr>
      <w:tr>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Intelligent Questionnaire Processing</w:t>
            </w:r>
          </w:p>
        </w:tc>
        <w:tc>
          <w:tcPr>
            <w:tcW w:type="dxa" w:w="3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Automated analysis of vendor questionnaire responses against policy requirements; identification of gaps, inconsistencies, and risk indicators; cross-referencing with historical assessment data</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90% automated analysis, 10% analyst review for flagged items</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Review of AI-flagged exceptions and risk findings</w:t>
            </w:r>
          </w:p>
        </w:tc>
      </w:tr>
      <w:tr>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Document Intelligence</w:t>
            </w:r>
          </w:p>
        </w:tc>
        <w:tc>
          <w:tcPr>
            <w:tcW w:type="dxa" w:w="3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Automated extraction and analysis of SOC 2 reports, certifications, policies, and contracts; identification of material findings, exceptions, and control gaps</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85% automated extraction and classification</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Validation of material findings and risk implications</w:t>
            </w:r>
          </w:p>
        </w:tc>
      </w:tr>
      <w:tr>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Continuous Threat Intelligence</w:t>
            </w:r>
          </w:p>
        </w:tc>
        <w:tc>
          <w:tcPr>
            <w:tcW w:type="dxa" w:w="3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Real-time monitoring of vendor security posture through external attack surface analysis, dark web monitoring, breach notification tracking, and financial health signals</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95% automated collection and correlation</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Review of high-severity alerts and trend analysis</w:t>
            </w:r>
          </w:p>
        </w:tc>
      </w:tr>
      <w:tr>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Predictive Risk Analytics</w:t>
            </w:r>
          </w:p>
        </w:tc>
        <w:tc>
          <w:tcPr>
            <w:tcW w:type="dxa" w:w="3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Machine learning models that predict vendor risk trajectory based on historical patterns, industry benchmarks, macroeconomic indicators, and behavioral signals</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80% automated scoring and trending</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Quarterly model validation and recalibration</w:t>
            </w:r>
          </w:p>
        </w:tc>
      </w:tr>
    </w:tbl>
    <w:p>
      <w:pPr>
        <w:spacing w:before="60" w:after="60"/>
      </w:pPr>
    </w:p>
    <w:p>
      <w:pPr>
        <w:pStyle w:val="Heading2"/>
        <w:spacing w:before="280" w:after="160"/>
      </w:pPr>
      <w:r>
        <w:rPr>
          <w:rFonts w:ascii="Arial" w:cs="Arial" w:eastAsia="Arial" w:hAnsi="Arial"/>
          <w:b/>
          <w:bCs/>
          <w:color w:val="2E75B6"/>
          <w:sz w:val="28"/>
          <w:szCs w:val="28"/>
        </w:rPr>
        <w:t xml:space="preserve">V.5.2 External Attack Surface Monitoring</w:t>
      </w:r>
    </w:p>
    <w:p>
      <w:pPr>
        <w:spacing w:before="80" w:after="80"/>
      </w:pPr>
      <w:r>
        <w:rPr>
          <w:rFonts w:ascii="Arial" w:cs="Arial" w:eastAsia="Arial" w:hAnsi="Arial"/>
          <w:sz w:val="22"/>
          <w:szCs w:val="22"/>
        </w:rPr>
        <w:t xml:space="preserve">AI-driven external attack surface monitoring provides continuous visibility into the security posture of third-party vendors without requiring their active participation. This capability operates across multiple intelligence dimensions:</w:t>
      </w:r>
    </w:p>
    <w:p>
      <w:pPr>
        <w:pStyle w:val="ListParagraph"/>
        <w:numPr>
          <w:ilvl w:val="0"/>
          <w:numId w:val="4"/>
        </w:numPr>
        <w:spacing w:before="40" w:after="40"/>
      </w:pPr>
      <w:r>
        <w:rPr>
          <w:rFonts w:ascii="Arial" w:cs="Arial" w:eastAsia="Arial" w:hAnsi="Arial"/>
          <w:b/>
          <w:bCs/>
          <w:sz w:val="22"/>
          <w:szCs w:val="22"/>
        </w:rPr>
        <w:t xml:space="preserve">DNS and Certificate Intelligence: </w:t>
      </w:r>
      <w:r>
        <w:rPr>
          <w:rFonts w:ascii="Arial" w:cs="Arial" w:eastAsia="Arial" w:hAnsi="Arial"/>
          <w:sz w:val="22"/>
          <w:szCs w:val="22"/>
        </w:rPr>
        <w:t xml:space="preserve">Automated discovery and monitoring of vendor domains, subdomains, SSL/TLS certificate configurations, DNSSEC deployment, and mail security (SPF, DKIM, DMARC) status</w:t>
      </w:r>
    </w:p>
    <w:p>
      <w:pPr>
        <w:pStyle w:val="ListParagraph"/>
        <w:numPr>
          <w:ilvl w:val="0"/>
          <w:numId w:val="4"/>
        </w:numPr>
        <w:spacing w:before="40" w:after="40"/>
      </w:pPr>
      <w:r>
        <w:rPr>
          <w:rFonts w:ascii="Arial" w:cs="Arial" w:eastAsia="Arial" w:hAnsi="Arial"/>
          <w:b/>
          <w:bCs/>
          <w:sz w:val="22"/>
          <w:szCs w:val="22"/>
        </w:rPr>
        <w:t xml:space="preserve">Network Infrastructure Analysis: </w:t>
      </w:r>
      <w:r>
        <w:rPr>
          <w:rFonts w:ascii="Arial" w:cs="Arial" w:eastAsia="Arial" w:hAnsi="Arial"/>
          <w:sz w:val="22"/>
          <w:szCs w:val="22"/>
        </w:rPr>
        <w:t xml:space="preserve">Continuous assessment of exposed services, open ports, deprecated protocols, and cloud infrastructure configuration across vendor-controlled IP ranges</w:t>
      </w:r>
    </w:p>
    <w:p>
      <w:pPr>
        <w:pStyle w:val="ListParagraph"/>
        <w:numPr>
          <w:ilvl w:val="0"/>
          <w:numId w:val="4"/>
        </w:numPr>
        <w:spacing w:before="40" w:after="40"/>
      </w:pPr>
      <w:r>
        <w:rPr>
          <w:rFonts w:ascii="Arial" w:cs="Arial" w:eastAsia="Arial" w:hAnsi="Arial"/>
          <w:b/>
          <w:bCs/>
          <w:sz w:val="22"/>
          <w:szCs w:val="22"/>
        </w:rPr>
        <w:t xml:space="preserve">Web Application Security Scoring: </w:t>
      </w:r>
      <w:r>
        <w:rPr>
          <w:rFonts w:ascii="Arial" w:cs="Arial" w:eastAsia="Arial" w:hAnsi="Arial"/>
          <w:sz w:val="22"/>
          <w:szCs w:val="22"/>
        </w:rPr>
        <w:t xml:space="preserve">Automated evaluation of vendor web application security headers, cookie configurations, content security policies, and client-side dependency management</w:t>
      </w:r>
    </w:p>
    <w:p>
      <w:pPr>
        <w:pStyle w:val="ListParagraph"/>
        <w:numPr>
          <w:ilvl w:val="0"/>
          <w:numId w:val="4"/>
        </w:numPr>
        <w:spacing w:before="40" w:after="40"/>
      </w:pPr>
      <w:r>
        <w:rPr>
          <w:rFonts w:ascii="Arial" w:cs="Arial" w:eastAsia="Arial" w:hAnsi="Arial"/>
          <w:b/>
          <w:bCs/>
          <w:sz w:val="22"/>
          <w:szCs w:val="22"/>
        </w:rPr>
        <w:t xml:space="preserve">Data Leakage Detection: </w:t>
      </w:r>
      <w:r>
        <w:rPr>
          <w:rFonts w:ascii="Arial" w:cs="Arial" w:eastAsia="Arial" w:hAnsi="Arial"/>
          <w:sz w:val="22"/>
          <w:szCs w:val="22"/>
        </w:rPr>
        <w:t xml:space="preserve">Monitoring of code repositories, paste sites, dark web forums, and breach databases for exposed credentials, API keys, or sensitive data associated with vendor systems</w:t>
      </w:r>
    </w:p>
    <w:p>
      <w:pPr>
        <w:pStyle w:val="ListParagraph"/>
        <w:numPr>
          <w:ilvl w:val="0"/>
          <w:numId w:val="4"/>
        </w:numPr>
        <w:spacing w:before="40" w:after="40"/>
      </w:pPr>
      <w:r>
        <w:rPr>
          <w:rFonts w:ascii="Arial" w:cs="Arial" w:eastAsia="Arial" w:hAnsi="Arial"/>
          <w:b/>
          <w:bCs/>
          <w:sz w:val="22"/>
          <w:szCs w:val="22"/>
        </w:rPr>
        <w:t xml:space="preserve">Reputation and Sentiment Analysis: </w:t>
      </w:r>
      <w:r>
        <w:rPr>
          <w:rFonts w:ascii="Arial" w:cs="Arial" w:eastAsia="Arial" w:hAnsi="Arial"/>
          <w:sz w:val="22"/>
          <w:szCs w:val="22"/>
        </w:rPr>
        <w:t xml:space="preserve">Natural language processing of news sources, social media, regulatory filings, and industry publications for emerging vendor risk signals</w:t>
      </w:r>
    </w:p>
    <w:p>
      <w:pPr>
        <w:spacing w:before="60" w:after="60"/>
      </w:pPr>
    </w:p>
    <w:p>
      <w:pPr>
        <w:pStyle w:val="Heading2"/>
        <w:spacing w:before="280" w:after="160"/>
      </w:pPr>
      <w:r>
        <w:rPr>
          <w:rFonts w:ascii="Arial" w:cs="Arial" w:eastAsia="Arial" w:hAnsi="Arial"/>
          <w:b/>
          <w:bCs/>
          <w:color w:val="2E75B6"/>
          <w:sz w:val="28"/>
          <w:szCs w:val="28"/>
        </w:rPr>
        <w:t xml:space="preserve">V.5.3 AI Risk Correlation Engine</w:t>
      </w:r>
    </w:p>
    <w:p>
      <w:pPr>
        <w:spacing w:before="80" w:after="80"/>
      </w:pPr>
      <w:r>
        <w:rPr>
          <w:rFonts w:ascii="Arial" w:cs="Arial" w:eastAsia="Arial" w:hAnsi="Arial"/>
          <w:sz w:val="22"/>
          <w:szCs w:val="22"/>
        </w:rPr>
        <w:t xml:space="preserve">The AI Risk Correlation Engine aggregates signals from all monitoring channels and assessment activities to produce a unified, continuously updated risk profile for each vendor. The engine employs several advanced analytical techniques:</w:t>
      </w:r>
    </w:p>
    <w:p>
      <w:pPr>
        <w:pStyle w:val="ListParagraph"/>
        <w:numPr>
          <w:ilvl w:val="0"/>
          <w:numId w:val="2"/>
        </w:numPr>
        <w:spacing w:before="40" w:after="40"/>
      </w:pPr>
      <w:r>
        <w:rPr>
          <w:rFonts w:ascii="Arial" w:cs="Arial" w:eastAsia="Arial" w:hAnsi="Arial"/>
          <w:b/>
          <w:bCs/>
          <w:sz w:val="22"/>
          <w:szCs w:val="22"/>
        </w:rPr>
        <w:t xml:space="preserve">Multi-Source Signal Fusion: </w:t>
      </w:r>
      <w:r>
        <w:rPr>
          <w:rFonts w:ascii="Arial" w:cs="Arial" w:eastAsia="Arial" w:hAnsi="Arial"/>
          <w:sz w:val="22"/>
          <w:szCs w:val="22"/>
        </w:rPr>
        <w:t xml:space="preserve">Correlates findings from questionnaire assessments, external monitoring, threat intelligence feeds, and operational telemetry to identify compound risk scenarios that individual data sources would miss</w:t>
      </w:r>
    </w:p>
    <w:p>
      <w:pPr>
        <w:pStyle w:val="ListParagraph"/>
        <w:numPr>
          <w:ilvl w:val="0"/>
          <w:numId w:val="2"/>
        </w:numPr>
        <w:spacing w:before="40" w:after="40"/>
      </w:pPr>
      <w:r>
        <w:rPr>
          <w:rFonts w:ascii="Arial" w:cs="Arial" w:eastAsia="Arial" w:hAnsi="Arial"/>
          <w:b/>
          <w:bCs/>
          <w:sz w:val="22"/>
          <w:szCs w:val="22"/>
        </w:rPr>
        <w:t xml:space="preserve">Temporal Pattern Recognition: </w:t>
      </w:r>
      <w:r>
        <w:rPr>
          <w:rFonts w:ascii="Arial" w:cs="Arial" w:eastAsia="Arial" w:hAnsi="Arial"/>
          <w:sz w:val="22"/>
          <w:szCs w:val="22"/>
        </w:rPr>
        <w:t xml:space="preserve">Identifies risk trends and deterioration patterns by analyzing changes in vendor risk indicators over time, triggering proactive alerts before risks materialize into incidents</w:t>
      </w:r>
    </w:p>
    <w:p>
      <w:pPr>
        <w:pStyle w:val="ListParagraph"/>
        <w:numPr>
          <w:ilvl w:val="0"/>
          <w:numId w:val="2"/>
        </w:numPr>
        <w:spacing w:before="40" w:after="40"/>
      </w:pPr>
      <w:r>
        <w:rPr>
          <w:rFonts w:ascii="Arial" w:cs="Arial" w:eastAsia="Arial" w:hAnsi="Arial"/>
          <w:b/>
          <w:bCs/>
          <w:sz w:val="22"/>
          <w:szCs w:val="22"/>
        </w:rPr>
        <w:t xml:space="preserve">Peer Benchmarking: </w:t>
      </w:r>
      <w:r>
        <w:rPr>
          <w:rFonts w:ascii="Arial" w:cs="Arial" w:eastAsia="Arial" w:hAnsi="Arial"/>
          <w:sz w:val="22"/>
          <w:szCs w:val="22"/>
        </w:rPr>
        <w:t xml:space="preserve">Compares vendor risk profiles against industry peers and similar-tier vendors to identify outliers and contextualize risk findings</w:t>
      </w:r>
    </w:p>
    <w:p>
      <w:pPr>
        <w:pStyle w:val="ListParagraph"/>
        <w:numPr>
          <w:ilvl w:val="0"/>
          <w:numId w:val="2"/>
        </w:numPr>
        <w:spacing w:before="40" w:after="40"/>
      </w:pPr>
      <w:r>
        <w:rPr>
          <w:rFonts w:ascii="Arial" w:cs="Arial" w:eastAsia="Arial" w:hAnsi="Arial"/>
          <w:b/>
          <w:bCs/>
          <w:sz w:val="22"/>
          <w:szCs w:val="22"/>
        </w:rPr>
        <w:t xml:space="preserve">Cascading Impact Analysis: </w:t>
      </w:r>
      <w:r>
        <w:rPr>
          <w:rFonts w:ascii="Arial" w:cs="Arial" w:eastAsia="Arial" w:hAnsi="Arial"/>
          <w:sz w:val="22"/>
          <w:szCs w:val="22"/>
        </w:rPr>
        <w:t xml:space="preserve">Models the downstream impact of vendor risk events across the enterprise application portfolio, identifying which business processes and data assets would be affected</w:t>
      </w:r>
    </w:p>
    <w:p>
      <w:pPr>
        <w:pStyle w:val="ListParagraph"/>
        <w:numPr>
          <w:ilvl w:val="0"/>
          <w:numId w:val="2"/>
        </w:numPr>
        <w:spacing w:before="40" w:after="40"/>
      </w:pPr>
      <w:r>
        <w:rPr>
          <w:rFonts w:ascii="Arial" w:cs="Arial" w:eastAsia="Arial" w:hAnsi="Arial"/>
          <w:b/>
          <w:bCs/>
          <w:sz w:val="22"/>
          <w:szCs w:val="22"/>
        </w:rPr>
        <w:t xml:space="preserve">False Positive Reduction: </w:t>
      </w:r>
      <w:r>
        <w:rPr>
          <w:rFonts w:ascii="Arial" w:cs="Arial" w:eastAsia="Arial" w:hAnsi="Arial"/>
          <w:sz w:val="22"/>
          <w:szCs w:val="22"/>
        </w:rPr>
        <w:t xml:space="preserve">Machine learning models trained on historical assessment data to distinguish between genuine risk indicators and noise, reducing alert fatigue by an estimated 40-60%</w:t>
      </w:r>
    </w:p>
    <w:p>
      <w:pPr>
        <w:spacing w:before="60" w:after="60"/>
      </w:pPr>
    </w:p>
    <w:p>
      <w:pPr>
        <w:pStyle w:val="Heading2"/>
        <w:spacing w:before="280" w:after="160"/>
      </w:pPr>
      <w:r>
        <w:rPr>
          <w:rFonts w:ascii="Arial" w:cs="Arial" w:eastAsia="Arial" w:hAnsi="Arial"/>
          <w:b/>
          <w:bCs/>
          <w:color w:val="2E75B6"/>
          <w:sz w:val="28"/>
          <w:szCs w:val="28"/>
        </w:rPr>
        <w:t xml:space="preserve">V.5.4 Automated Vendor Intelligence Dashboard</w:t>
      </w:r>
    </w:p>
    <w:p>
      <w:pPr>
        <w:spacing w:before="80" w:after="80"/>
      </w:pPr>
      <w:r>
        <w:rPr>
          <w:rFonts w:ascii="Arial" w:cs="Arial" w:eastAsia="Arial" w:hAnsi="Arial"/>
          <w:sz w:val="22"/>
          <w:szCs w:val="22"/>
        </w:rPr>
        <w:t xml:space="preserve">The TPRM platform provides role-specific dashboards that deliver actionable vendor intelligence to each governance tier:</w:t>
      </w:r>
    </w:p>
    <w:p>
      <w:pPr>
        <w:pStyle w:val="ListParagraph"/>
        <w:numPr>
          <w:ilvl w:val="0"/>
          <w:numId w:val="2"/>
        </w:numPr>
        <w:spacing w:before="40" w:after="40"/>
      </w:pPr>
      <w:r>
        <w:rPr>
          <w:rFonts w:ascii="Arial" w:cs="Arial" w:eastAsia="Arial" w:hAnsi="Arial"/>
          <w:b/>
          <w:bCs/>
          <w:sz w:val="22"/>
          <w:szCs w:val="22"/>
        </w:rPr>
        <w:t xml:space="preserve">Executive Dashboard: </w:t>
      </w:r>
      <w:r>
        <w:rPr>
          <w:rFonts w:ascii="Arial" w:cs="Arial" w:eastAsia="Arial" w:hAnsi="Arial"/>
          <w:sz w:val="22"/>
          <w:szCs w:val="22"/>
        </w:rPr>
        <w:t xml:space="preserve">Portfolio-level risk heat map, concentration risk indicators, regulatory compliance status, trending risk metrics, and exception summary</w:t>
      </w:r>
    </w:p>
    <w:p>
      <w:pPr>
        <w:pStyle w:val="ListParagraph"/>
        <w:numPr>
          <w:ilvl w:val="0"/>
          <w:numId w:val="2"/>
        </w:numPr>
        <w:spacing w:before="40" w:after="40"/>
      </w:pPr>
      <w:r>
        <w:rPr>
          <w:rFonts w:ascii="Arial" w:cs="Arial" w:eastAsia="Arial" w:hAnsi="Arial"/>
          <w:b/>
          <w:bCs/>
          <w:sz w:val="22"/>
          <w:szCs w:val="22"/>
        </w:rPr>
        <w:t xml:space="preserve">Steering Council Dashboard: </w:t>
      </w:r>
      <w:r>
        <w:rPr>
          <w:rFonts w:ascii="Arial" w:cs="Arial" w:eastAsia="Arial" w:hAnsi="Arial"/>
          <w:sz w:val="22"/>
          <w:szCs w:val="22"/>
        </w:rPr>
        <w:t xml:space="preserve">Vendor tier distribution, assessment pipeline status, overdue assessments, high-risk vendor watchlist, and policy compliance metrics</w:t>
      </w:r>
    </w:p>
    <w:p>
      <w:pPr>
        <w:pStyle w:val="ListParagraph"/>
        <w:numPr>
          <w:ilvl w:val="0"/>
          <w:numId w:val="2"/>
        </w:numPr>
        <w:spacing w:before="40" w:after="40"/>
      </w:pPr>
      <w:r>
        <w:rPr>
          <w:rFonts w:ascii="Arial" w:cs="Arial" w:eastAsia="Arial" w:hAnsi="Arial"/>
          <w:b/>
          <w:bCs/>
          <w:sz w:val="22"/>
          <w:szCs w:val="22"/>
        </w:rPr>
        <w:t xml:space="preserve">Operational Dashboard: </w:t>
      </w:r>
      <w:r>
        <w:rPr>
          <w:rFonts w:ascii="Arial" w:cs="Arial" w:eastAsia="Arial" w:hAnsi="Arial"/>
          <w:sz w:val="22"/>
          <w:szCs w:val="22"/>
        </w:rPr>
        <w:t xml:space="preserve">Individual vendor risk profiles, assessment task queue, monitoring alert feed, remediation tracking, and SLA compliance</w:t>
      </w:r>
    </w:p>
    <w:p>
      <w:r>
        <w:br w:type="page"/>
      </w:r>
    </w:p>
    <w:p>
      <w:pPr>
        <w:pStyle w:val="Heading1"/>
        <w:spacing w:before="360" w:after="200"/>
      </w:pPr>
      <w:r>
        <w:rPr>
          <w:rFonts w:ascii="Arial" w:cs="Arial" w:eastAsia="Arial" w:hAnsi="Arial"/>
          <w:b/>
          <w:bCs/>
          <w:color w:val="1B3A5C"/>
          <w:sz w:val="32"/>
          <w:szCs w:val="32"/>
        </w:rPr>
        <w:t xml:space="preserve">V.6 Contract Management and SLA Governance</w:t>
      </w:r>
    </w:p>
    <w:p>
      <w:pPr>
        <w:spacing w:before="60" w:after="60"/>
      </w:pPr>
    </w:p>
    <w:p>
      <w:pPr>
        <w:pStyle w:val="Heading2"/>
        <w:spacing w:before="280" w:after="160"/>
      </w:pPr>
      <w:r>
        <w:rPr>
          <w:rFonts w:ascii="Arial" w:cs="Arial" w:eastAsia="Arial" w:hAnsi="Arial"/>
          <w:b/>
          <w:bCs/>
          <w:color w:val="2E75B6"/>
          <w:sz w:val="28"/>
          <w:szCs w:val="28"/>
        </w:rPr>
        <w:t xml:space="preserve">V.6.1 Contract Lifecycle Integration</w:t>
      </w:r>
    </w:p>
    <w:p>
      <w:pPr>
        <w:spacing w:before="80" w:after="80"/>
      </w:pPr>
      <w:r>
        <w:rPr>
          <w:rFonts w:ascii="Arial" w:cs="Arial" w:eastAsia="Arial" w:hAnsi="Arial"/>
          <w:sz w:val="22"/>
          <w:szCs w:val="22"/>
        </w:rPr>
        <w:t xml:space="preserve">Contract management is inseparable from TPRM. Every vendor contract must encode the risk management requirements identified during assessment into legally enforceable terms. The contract lifecycle integrates directly with the TPRM governance model to ensure that risk mitigation measures are not just recommended but contractually mandated.</w:t>
      </w:r>
    </w:p>
    <w:p>
      <w:pPr>
        <w:spacing w:before="60" w:after="60"/>
      </w:pPr>
    </w:p>
    <w:p>
      <w:pPr>
        <w:pStyle w:val="Heading2"/>
        <w:spacing w:before="280" w:after="160"/>
      </w:pPr>
      <w:r>
        <w:rPr>
          <w:rFonts w:ascii="Arial" w:cs="Arial" w:eastAsia="Arial" w:hAnsi="Arial"/>
          <w:b/>
          <w:bCs/>
          <w:color w:val="2E75B6"/>
          <w:sz w:val="28"/>
          <w:szCs w:val="28"/>
        </w:rPr>
        <w:t xml:space="preserve">V.6.2 Mandatory Contractual Provisions by Tier</w:t>
      </w:r>
    </w:p>
    <w:p>
      <w:pPr>
        <w:spacing w:before="80" w:after="80"/>
      </w:pPr>
      <w:r>
        <w:rPr>
          <w:rFonts w:ascii="Arial" w:cs="Arial" w:eastAsia="Arial" w:hAnsi="Arial"/>
          <w:sz w:val="22"/>
          <w:szCs w:val="22"/>
        </w:rPr>
        <w:t xml:space="preserve">The following contractual provisions are required based on vendor tier classification: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100"/>
        <w:gridCol w:w="1800"/>
        <w:gridCol w:w="1560"/>
      </w:tblGrid>
      <w:tr>
        <w:trPr>
          <w:tblHeader/>
        </w:trPr>
        <w:tc>
          <w:tcPr>
            <w:tcW w:type="dxa" w:w="1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Provision Category</w:t>
            </w:r>
          </w:p>
        </w:tc>
        <w:tc>
          <w:tcPr>
            <w:tcW w:type="dxa" w:w="23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Critical Tier</w:t>
            </w:r>
          </w:p>
        </w:tc>
        <w:tc>
          <w:tcPr>
            <w:tcW w:type="dxa" w:w="21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High Tier</w:t>
            </w:r>
          </w:p>
        </w:tc>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Medium Tier</w:t>
            </w:r>
          </w:p>
        </w:tc>
        <w:tc>
          <w:tcPr>
            <w:tcW w:type="dxa" w:w="15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Low Tier</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Data Protection &amp; Privacy</w:t>
            </w:r>
          </w:p>
        </w:tc>
        <w:tc>
          <w:tcPr>
            <w:tcW w:type="dxa" w:w="23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Comprehensive DPA with data flow controls, encryption requirements, retention limits, breach notification (24hr), subprocessor approval rights, and cross-border transfer mechanisms</w:t>
            </w:r>
          </w:p>
        </w:tc>
        <w:tc>
          <w:tcPr>
            <w:tcW w:type="dxa" w:w="21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DPA with encryption requirements, breach notification (48hr), and subprocessor disclosure</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Standard DPA with breach notification (72hr)</w:t>
            </w:r>
          </w:p>
        </w:tc>
        <w:tc>
          <w:tcPr>
            <w:tcW w:type="dxa" w:w="15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Basic data handling terms</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Security Requirements</w:t>
            </w:r>
          </w:p>
        </w:tc>
        <w:tc>
          <w:tcPr>
            <w:tcW w:type="dxa" w:w="23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Defined security baseline, annual pen testing, vulnerability remediation SLAs, MFA mandate, encryption at rest and in transit, SIEM integration rights</w:t>
            </w:r>
          </w:p>
        </w:tc>
        <w:tc>
          <w:tcPr>
            <w:tcW w:type="dxa" w:w="21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Security baseline, vulnerability remediation SLAs, MFA requirement, encryption standards</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Security questionnaire compliance, encryption in transit</w:t>
            </w:r>
          </w:p>
        </w:tc>
        <w:tc>
          <w:tcPr>
            <w:tcW w:type="dxa" w:w="1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Standard security terms</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Audit Rights</w:t>
            </w:r>
          </w:p>
        </w:tc>
        <w:tc>
          <w:tcPr>
            <w:tcW w:type="dxa" w:w="23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Unlimited audit rights with 10 business days notice; access to security logs and compliance documentation; right to engage third-party auditors</w:t>
            </w:r>
          </w:p>
        </w:tc>
        <w:tc>
          <w:tcPr>
            <w:tcW w:type="dxa" w:w="21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Annual audit right with 20 business days notice; access to compliance documentation</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Right to request compliance attestation annually</w:t>
            </w:r>
          </w:p>
        </w:tc>
        <w:tc>
          <w:tcPr>
            <w:tcW w:type="dxa" w:w="15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N/A</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Business Continuity</w:t>
            </w:r>
          </w:p>
        </w:tc>
        <w:tc>
          <w:tcPr>
            <w:tcW w:type="dxa" w:w="23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BCP/DR plan requirements; defined RTO/RPO; annual failover testing with evidence; geographic redundancy requirements</w:t>
            </w:r>
          </w:p>
        </w:tc>
        <w:tc>
          <w:tcPr>
            <w:tcW w:type="dxa" w:w="21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BCP/DR plan requirements; defined RTO/RPO; annual testing attestation</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General continuity commitments</w:t>
            </w:r>
          </w:p>
        </w:tc>
        <w:tc>
          <w:tcPr>
            <w:tcW w:type="dxa" w:w="1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N/A</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SLA &amp; Performance</w:t>
            </w:r>
          </w:p>
        </w:tc>
        <w:tc>
          <w:tcPr>
            <w:tcW w:type="dxa" w:w="23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99.9%+ uptime SLA; performance benchmarks; financial remedies for SLA breach; service credit escalation; real-time status reporting</w:t>
            </w:r>
          </w:p>
        </w:tc>
        <w:tc>
          <w:tcPr>
            <w:tcW w:type="dxa" w:w="21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99.5%+ uptime SLA; service credits for downtime; incident notification requirements</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Reasonable uptime commitment; incident notification</w:t>
            </w:r>
          </w:p>
        </w:tc>
        <w:tc>
          <w:tcPr>
            <w:tcW w:type="dxa" w:w="15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Standard terms</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Termination &amp; Exit</w:t>
            </w:r>
          </w:p>
        </w:tc>
        <w:tc>
          <w:tcPr>
            <w:tcW w:type="dxa" w:w="23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12-month transition assistance; data return in standard formats; destruction certification; IP ownership clarity; escrow provisions</w:t>
            </w:r>
          </w:p>
        </w:tc>
        <w:tc>
          <w:tcPr>
            <w:tcW w:type="dxa" w:w="21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6-month transition assistance; data return; destruction certification</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90-day data return; destruction certification</w:t>
            </w:r>
          </w:p>
        </w:tc>
        <w:tc>
          <w:tcPr>
            <w:tcW w:type="dxa" w:w="1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Standard termination</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Liability &amp; Indemnification</w:t>
            </w:r>
          </w:p>
        </w:tc>
        <w:tc>
          <w:tcPr>
            <w:tcW w:type="dxa" w:w="23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Uncapped liability for data breach; cyber insurance requirements ($10M+); indemnification for regulatory penalties</w:t>
            </w:r>
          </w:p>
        </w:tc>
        <w:tc>
          <w:tcPr>
            <w:tcW w:type="dxa" w:w="21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Liability cap not less than 2x annual contract value; cyber insurance required; breach indemnification</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Standard liability terms; insurance verification</w:t>
            </w:r>
          </w:p>
        </w:tc>
        <w:tc>
          <w:tcPr>
            <w:tcW w:type="dxa" w:w="15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Standard terms</w:t>
            </w:r>
          </w:p>
        </w:tc>
      </w:tr>
    </w:tbl>
    <w:p>
      <w:pPr>
        <w:spacing w:before="60" w:after="60"/>
      </w:pPr>
    </w:p>
    <w:p>
      <w:pPr>
        <w:pStyle w:val="Heading2"/>
        <w:spacing w:before="280" w:after="160"/>
      </w:pPr>
      <w:r>
        <w:rPr>
          <w:rFonts w:ascii="Arial" w:cs="Arial" w:eastAsia="Arial" w:hAnsi="Arial"/>
          <w:b/>
          <w:bCs/>
          <w:color w:val="2E75B6"/>
          <w:sz w:val="28"/>
          <w:szCs w:val="28"/>
        </w:rPr>
        <w:t xml:space="preserve">V.6.3 SLA Framework and Performance Monitoring</w:t>
      </w:r>
    </w:p>
    <w:p>
      <w:pPr>
        <w:spacing w:before="80" w:after="80"/>
      </w:pPr>
      <w:r>
        <w:rPr>
          <w:rFonts w:ascii="Arial" w:cs="Arial" w:eastAsia="Arial" w:hAnsi="Arial"/>
          <w:sz w:val="22"/>
          <w:szCs w:val="22"/>
        </w:rPr>
        <w:t xml:space="preserve">Service Level Agreements are structured using a three-tier measurement framework that aligns with business criticality: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360"/>
      </w:tblGrid>
      <w:tr>
        <w:trPr>
          <w:tblHeader/>
        </w:trPr>
        <w:tc>
          <w:tcPr>
            <w:tcW w:type="dxa" w:w="1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SLA Category</w:t>
            </w:r>
          </w:p>
        </w:tc>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Critical Tier Target</w:t>
            </w:r>
          </w:p>
        </w:tc>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High Tier Target</w:t>
            </w:r>
          </w:p>
        </w:tc>
        <w:tc>
          <w:tcPr>
            <w:tcW w:type="dxa" w:w="23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Measurement Method</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Availability</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Monthly uptime percentage</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99.95%</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99.5%</w:t>
            </w:r>
          </w:p>
        </w:tc>
        <w:tc>
          <w:tcPr>
            <w:tcW w:type="dxa" w:w="2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Synthetic monitoring + vendor reporting</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Performance</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Response time (P95)</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&lt; 200ms</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&lt; 500ms</w:t>
            </w:r>
          </w:p>
        </w:tc>
        <w:tc>
          <w:tcPr>
            <w:tcW w:type="dxa" w:w="2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APM instrumentation</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Incident Response</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Severity 1 acknowledgment</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15 minutes</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30 minutes</w:t>
            </w:r>
          </w:p>
        </w:tc>
        <w:tc>
          <w:tcPr>
            <w:tcW w:type="dxa" w:w="2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Ticketing system timestamp</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Incident Resolution</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Severity 1 resolution</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4 hours</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8 hours</w:t>
            </w:r>
          </w:p>
        </w:tc>
        <w:tc>
          <w:tcPr>
            <w:tcW w:type="dxa" w:w="2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Ticketing system timestamp</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Change Notification</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Advance notice for planned changes</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30 days</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14 days</w:t>
            </w:r>
          </w:p>
        </w:tc>
        <w:tc>
          <w:tcPr>
            <w:tcW w:type="dxa" w:w="2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Communication log</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Vulnerability Remediation</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Critical vulnerability patch</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24 hours</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72 hours</w:t>
            </w:r>
          </w:p>
        </w:tc>
        <w:tc>
          <w:tcPr>
            <w:tcW w:type="dxa" w:w="2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Security monitoring</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Data Recovery</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Recovery Time Objective</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1 hour</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4 hours</w:t>
            </w:r>
          </w:p>
        </w:tc>
        <w:tc>
          <w:tcPr>
            <w:tcW w:type="dxa" w:w="23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DR test results</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Reporting</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Monthly performance report delivery</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5th business day</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10th business day</w:t>
            </w:r>
          </w:p>
        </w:tc>
        <w:tc>
          <w:tcPr>
            <w:tcW w:type="dxa" w:w="2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Delivery confirmation</w:t>
            </w:r>
          </w:p>
        </w:tc>
      </w:tr>
    </w:tbl>
    <w:p>
      <w:pPr>
        <w:spacing w:before="60" w:after="60"/>
      </w:pPr>
    </w:p>
    <w:p>
      <w:pPr>
        <w:pStyle w:val="Heading2"/>
        <w:spacing w:before="280" w:after="160"/>
      </w:pPr>
      <w:r>
        <w:rPr>
          <w:rFonts w:ascii="Arial" w:cs="Arial" w:eastAsia="Arial" w:hAnsi="Arial"/>
          <w:b/>
          <w:bCs/>
          <w:color w:val="2E75B6"/>
          <w:sz w:val="28"/>
          <w:szCs w:val="28"/>
        </w:rPr>
        <w:t xml:space="preserve">V.6.4 Contract Renewal Risk Assessment</w:t>
      </w:r>
    </w:p>
    <w:p>
      <w:pPr>
        <w:spacing w:before="80" w:after="80"/>
      </w:pPr>
      <w:r>
        <w:rPr>
          <w:rFonts w:ascii="Arial" w:cs="Arial" w:eastAsia="Arial" w:hAnsi="Arial"/>
          <w:sz w:val="22"/>
          <w:szCs w:val="22"/>
        </w:rPr>
        <w:t xml:space="preserve">Every contract renewal triggers a mandatory risk reassessment. The renewal assessment evaluates changes in the vendor's risk profile since the last assessment, performance against SLAs, incident history, market conditions, and regulatory landscape changes. Contract renewals for Critical and High-tier vendors require a formal recommendation report to the appropriate governance authority that includes a comprehensive risk update, performance summary, market alternatives analysis, and recommended contract modifications.</w:t>
      </w:r>
    </w:p>
    <w:p>
      <w:r>
        <w:br w:type="page"/>
      </w:r>
    </w:p>
    <w:p>
      <w:pPr>
        <w:pStyle w:val="Heading1"/>
        <w:spacing w:before="360" w:after="200"/>
      </w:pPr>
      <w:r>
        <w:rPr>
          <w:rFonts w:ascii="Arial" w:cs="Arial" w:eastAsia="Arial" w:hAnsi="Arial"/>
          <w:b/>
          <w:bCs/>
          <w:color w:val="1B3A5C"/>
          <w:sz w:val="32"/>
          <w:szCs w:val="32"/>
        </w:rPr>
        <w:t xml:space="preserve">V.7 Ongoing Monitoring and Reassessment</w:t>
      </w:r>
    </w:p>
    <w:p>
      <w:pPr>
        <w:spacing w:before="60" w:after="60"/>
      </w:pPr>
    </w:p>
    <w:p>
      <w:pPr>
        <w:pStyle w:val="Heading2"/>
        <w:spacing w:before="280" w:after="160"/>
      </w:pPr>
      <w:r>
        <w:rPr>
          <w:rFonts w:ascii="Arial" w:cs="Arial" w:eastAsia="Arial" w:hAnsi="Arial"/>
          <w:b/>
          <w:bCs/>
          <w:color w:val="2E75B6"/>
          <w:sz w:val="28"/>
          <w:szCs w:val="28"/>
        </w:rPr>
        <w:t xml:space="preserve">V.7.1 Continuous Monitoring Strategy</w:t>
      </w:r>
    </w:p>
    <w:p>
      <w:pPr>
        <w:spacing w:before="80" w:after="80"/>
      </w:pPr>
      <w:r>
        <w:rPr>
          <w:rFonts w:ascii="Arial" w:cs="Arial" w:eastAsia="Arial" w:hAnsi="Arial"/>
          <w:sz w:val="22"/>
          <w:szCs w:val="22"/>
        </w:rPr>
        <w:t xml:space="preserve">Initial vendor assessment captures a point-in-time risk snapshot. The ongoing monitoring program maintains continuous visibility into vendor risk posture through a combination of automated surveillance, periodic reassessment, and event-driven review. The monitoring strategy is calibrated to vendor tier with more intensive oversight applied to higher-risk relationships.</w:t>
      </w:r>
    </w:p>
    <w:p>
      <w:pPr>
        <w:spacing w:before="60" w:after="60"/>
      </w:pPr>
    </w:p>
    <w:p>
      <w:pPr>
        <w:pStyle w:val="Heading2"/>
        <w:spacing w:before="280" w:after="160"/>
      </w:pPr>
      <w:r>
        <w:rPr>
          <w:rFonts w:ascii="Arial" w:cs="Arial" w:eastAsia="Arial" w:hAnsi="Arial"/>
          <w:b/>
          <w:bCs/>
          <w:color w:val="2E75B6"/>
          <w:sz w:val="28"/>
          <w:szCs w:val="28"/>
        </w:rPr>
        <w:t xml:space="preserve">V.7.2 Monitoring Activities by Tier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800"/>
        <w:gridCol w:w="1560"/>
      </w:tblGrid>
      <w:tr>
        <w:trPr>
          <w:tblHeader/>
        </w:trPr>
        <w:tc>
          <w:tcPr>
            <w:tcW w:type="dxa" w:w="2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Monitoring Activity</w:t>
            </w:r>
          </w:p>
        </w:tc>
        <w:tc>
          <w:tcPr>
            <w:tcW w:type="dxa" w:w="2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Critical</w:t>
            </w:r>
          </w:p>
        </w:tc>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High</w:t>
            </w:r>
          </w:p>
        </w:tc>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Medium</w:t>
            </w:r>
          </w:p>
        </w:tc>
        <w:tc>
          <w:tcPr>
            <w:tcW w:type="dxa" w:w="15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Low</w:t>
            </w:r>
          </w:p>
        </w:tc>
      </w:tr>
      <w:tr>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External attack surface scan</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Continuous (daily)</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Weekly</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Monthly</w:t>
            </w:r>
          </w:p>
        </w:tc>
        <w:tc>
          <w:tcPr>
            <w:tcW w:type="dxa" w:w="15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Quarterly</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Dark web / breach monitoring</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Continuous (real-time)</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Daily</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Weekly</w:t>
            </w:r>
          </w:p>
        </w:tc>
        <w:tc>
          <w:tcPr>
            <w:tcW w:type="dxa" w:w="1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Monthly</w:t>
            </w:r>
          </w:p>
        </w:tc>
      </w:tr>
      <w:tr>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Financial health monitoring</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Monthly credit review + quarterly deep analysis</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Quarterly credit review</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Semi-annual credit check</w:t>
            </w:r>
          </w:p>
        </w:tc>
        <w:tc>
          <w:tcPr>
            <w:tcW w:type="dxa" w:w="15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Annual check</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Regulatory action monitoring</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Continuous (real-time)</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Daily</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Weekly</w:t>
            </w:r>
          </w:p>
        </w:tc>
        <w:tc>
          <w:tcPr>
            <w:tcW w:type="dxa" w:w="1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Monthly</w:t>
            </w:r>
          </w:p>
        </w:tc>
      </w:tr>
      <w:tr>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SLA performance tracking</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Real-time dashboard + weekly review</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Weekly automated report</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Monthly report</w:t>
            </w:r>
          </w:p>
        </w:tc>
        <w:tc>
          <w:tcPr>
            <w:tcW w:type="dxa" w:w="15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Quarterly report</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Security certification status</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Automated expiration tracking with 90-day advance alert</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60-day advance alert</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30-day advance alert</w:t>
            </w:r>
          </w:p>
        </w:tc>
        <w:tc>
          <w:tcPr>
            <w:tcW w:type="dxa" w:w="1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Annual verification</w:t>
            </w:r>
          </w:p>
        </w:tc>
      </w:tr>
      <w:tr>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Subcontractor change detection</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Real-time notification required</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30-day advance notification</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Quarterly disclosure</w:t>
            </w:r>
          </w:p>
        </w:tc>
        <w:tc>
          <w:tcPr>
            <w:tcW w:type="dxa" w:w="15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Annual disclosure</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News and sentiment analysis</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Continuous NLP monitoring</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Daily digest</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Weekly digest</w:t>
            </w:r>
          </w:p>
        </w:tc>
        <w:tc>
          <w:tcPr>
            <w:tcW w:type="dxa" w:w="1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Monthly digest</w:t>
            </w:r>
          </w:p>
        </w:tc>
      </w:tr>
      <w:tr>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Comprehensive reassessment</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Annual full reassessment</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Annual enhanced assessment</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Biennial standard assessment</w:t>
            </w:r>
          </w:p>
        </w:tc>
        <w:tc>
          <w:tcPr>
            <w:tcW w:type="dxa" w:w="15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Triennial streamlined assessment</w:t>
            </w:r>
          </w:p>
        </w:tc>
      </w:tr>
    </w:tbl>
    <w:p>
      <w:pPr>
        <w:spacing w:before="60" w:after="60"/>
      </w:pPr>
    </w:p>
    <w:p>
      <w:pPr>
        <w:pStyle w:val="Heading2"/>
        <w:spacing w:before="280" w:after="160"/>
      </w:pPr>
      <w:r>
        <w:rPr>
          <w:rFonts w:ascii="Arial" w:cs="Arial" w:eastAsia="Arial" w:hAnsi="Arial"/>
          <w:b/>
          <w:bCs/>
          <w:color w:val="2E75B6"/>
          <w:sz w:val="28"/>
          <w:szCs w:val="28"/>
        </w:rPr>
        <w:t xml:space="preserve">V.7.3 Event-Driven Reassessment Triggers</w:t>
      </w:r>
    </w:p>
    <w:p>
      <w:pPr>
        <w:spacing w:before="80" w:after="80"/>
      </w:pPr>
      <w:r>
        <w:rPr>
          <w:rFonts w:ascii="Arial" w:cs="Arial" w:eastAsia="Arial" w:hAnsi="Arial"/>
          <w:sz w:val="22"/>
          <w:szCs w:val="22"/>
        </w:rPr>
        <w:t xml:space="preserve">In addition to scheduled monitoring and reassessment, the following events trigger immediate risk reassessment regardless of the vendor's scheduled review cycle:</w:t>
      </w:r>
    </w:p>
    <w:p>
      <w:pPr>
        <w:pStyle w:val="ListParagraph"/>
        <w:numPr>
          <w:ilvl w:val="0"/>
          <w:numId w:val="5"/>
        </w:numPr>
        <w:spacing w:before="40" w:after="40"/>
      </w:pPr>
      <w:r>
        <w:rPr>
          <w:rFonts w:ascii="Arial" w:cs="Arial" w:eastAsia="Arial" w:hAnsi="Arial"/>
          <w:b/>
          <w:bCs/>
          <w:sz w:val="22"/>
          <w:szCs w:val="22"/>
        </w:rPr>
        <w:t xml:space="preserve">Security Incident: </w:t>
      </w:r>
      <w:r>
        <w:rPr>
          <w:rFonts w:ascii="Arial" w:cs="Arial" w:eastAsia="Arial" w:hAnsi="Arial"/>
          <w:sz w:val="22"/>
          <w:szCs w:val="22"/>
        </w:rPr>
        <w:t xml:space="preserve">Any confirmed security breach, data exposure, or significant vulnerability disclosure affecting the vendor or their critical subcontractors</w:t>
      </w:r>
    </w:p>
    <w:p>
      <w:pPr>
        <w:pStyle w:val="ListParagraph"/>
        <w:numPr>
          <w:ilvl w:val="0"/>
          <w:numId w:val="5"/>
        </w:numPr>
        <w:spacing w:before="40" w:after="40"/>
      </w:pPr>
      <w:r>
        <w:rPr>
          <w:rFonts w:ascii="Arial" w:cs="Arial" w:eastAsia="Arial" w:hAnsi="Arial"/>
          <w:b/>
          <w:bCs/>
          <w:sz w:val="22"/>
          <w:szCs w:val="22"/>
        </w:rPr>
        <w:t xml:space="preserve">Financial Distress Signal: </w:t>
      </w:r>
      <w:r>
        <w:rPr>
          <w:rFonts w:ascii="Arial" w:cs="Arial" w:eastAsia="Arial" w:hAnsi="Arial"/>
          <w:sz w:val="22"/>
          <w:szCs w:val="22"/>
        </w:rPr>
        <w:t xml:space="preserve">Credit rating downgrade, missed financial covenants, significant revenue decline, key customer losses, or filing for bankruptcy protection</w:t>
      </w:r>
    </w:p>
    <w:p>
      <w:pPr>
        <w:pStyle w:val="ListParagraph"/>
        <w:numPr>
          <w:ilvl w:val="0"/>
          <w:numId w:val="5"/>
        </w:numPr>
        <w:spacing w:before="40" w:after="40"/>
      </w:pPr>
      <w:r>
        <w:rPr>
          <w:rFonts w:ascii="Arial" w:cs="Arial" w:eastAsia="Arial" w:hAnsi="Arial"/>
          <w:b/>
          <w:bCs/>
          <w:sz w:val="22"/>
          <w:szCs w:val="22"/>
        </w:rPr>
        <w:t xml:space="preserve">Regulatory Action: </w:t>
      </w:r>
      <w:r>
        <w:rPr>
          <w:rFonts w:ascii="Arial" w:cs="Arial" w:eastAsia="Arial" w:hAnsi="Arial"/>
          <w:sz w:val="22"/>
          <w:szCs w:val="22"/>
        </w:rPr>
        <w:t xml:space="preserve">Regulatory investigation, enforcement action, consent order, material fine, or license revocation affecting the vendor</w:t>
      </w:r>
    </w:p>
    <w:p>
      <w:pPr>
        <w:pStyle w:val="ListParagraph"/>
        <w:numPr>
          <w:ilvl w:val="0"/>
          <w:numId w:val="5"/>
        </w:numPr>
        <w:spacing w:before="40" w:after="40"/>
      </w:pPr>
      <w:r>
        <w:rPr>
          <w:rFonts w:ascii="Arial" w:cs="Arial" w:eastAsia="Arial" w:hAnsi="Arial"/>
          <w:b/>
          <w:bCs/>
          <w:sz w:val="22"/>
          <w:szCs w:val="22"/>
        </w:rPr>
        <w:t xml:space="preserve">Leadership Change: </w:t>
      </w:r>
      <w:r>
        <w:rPr>
          <w:rFonts w:ascii="Arial" w:cs="Arial" w:eastAsia="Arial" w:hAnsi="Arial"/>
          <w:sz w:val="22"/>
          <w:szCs w:val="22"/>
        </w:rPr>
        <w:t xml:space="preserve">Departure of CEO, CTO, CISO, or other key executives; significant workforce reduction; or material organizational restructuring</w:t>
      </w:r>
    </w:p>
    <w:p>
      <w:pPr>
        <w:pStyle w:val="ListParagraph"/>
        <w:numPr>
          <w:ilvl w:val="0"/>
          <w:numId w:val="5"/>
        </w:numPr>
        <w:spacing w:before="40" w:after="40"/>
      </w:pPr>
      <w:r>
        <w:rPr>
          <w:rFonts w:ascii="Arial" w:cs="Arial" w:eastAsia="Arial" w:hAnsi="Arial"/>
          <w:b/>
          <w:bCs/>
          <w:sz w:val="22"/>
          <w:szCs w:val="22"/>
        </w:rPr>
        <w:t xml:space="preserve">Mergers and Acquisitions: </w:t>
      </w:r>
      <w:r>
        <w:rPr>
          <w:rFonts w:ascii="Arial" w:cs="Arial" w:eastAsia="Arial" w:hAnsi="Arial"/>
          <w:sz w:val="22"/>
          <w:szCs w:val="22"/>
        </w:rPr>
        <w:t xml:space="preserve">Vendor acquisition, merger, divestiture, or change of control that may affect service delivery, data handling, or contractual obligations</w:t>
      </w:r>
    </w:p>
    <w:p>
      <w:pPr>
        <w:pStyle w:val="ListParagraph"/>
        <w:numPr>
          <w:ilvl w:val="0"/>
          <w:numId w:val="5"/>
        </w:numPr>
        <w:spacing w:before="40" w:after="40"/>
      </w:pPr>
      <w:r>
        <w:rPr>
          <w:rFonts w:ascii="Arial" w:cs="Arial" w:eastAsia="Arial" w:hAnsi="Arial"/>
          <w:b/>
          <w:bCs/>
          <w:sz w:val="22"/>
          <w:szCs w:val="22"/>
        </w:rPr>
        <w:t xml:space="preserve">Service Degradation: </w:t>
      </w:r>
      <w:r>
        <w:rPr>
          <w:rFonts w:ascii="Arial" w:cs="Arial" w:eastAsia="Arial" w:hAnsi="Arial"/>
          <w:sz w:val="22"/>
          <w:szCs w:val="22"/>
        </w:rPr>
        <w:t xml:space="preserve">Repeated SLA failures, major service outage, or pattern of declining service quality</w:t>
      </w:r>
    </w:p>
    <w:p>
      <w:pPr>
        <w:pStyle w:val="ListParagraph"/>
        <w:numPr>
          <w:ilvl w:val="0"/>
          <w:numId w:val="5"/>
        </w:numPr>
        <w:spacing w:before="40" w:after="40"/>
      </w:pPr>
      <w:r>
        <w:rPr>
          <w:rFonts w:ascii="Arial" w:cs="Arial" w:eastAsia="Arial" w:hAnsi="Arial"/>
          <w:b/>
          <w:bCs/>
          <w:sz w:val="22"/>
          <w:szCs w:val="22"/>
        </w:rPr>
        <w:t xml:space="preserve">Scope Change: </w:t>
      </w:r>
      <w:r>
        <w:rPr>
          <w:rFonts w:ascii="Arial" w:cs="Arial" w:eastAsia="Arial" w:hAnsi="Arial"/>
          <w:sz w:val="22"/>
          <w:szCs w:val="22"/>
        </w:rPr>
        <w:t xml:space="preserve">Expansion of data access, new integration points, additional user populations, or change in data processing location</w:t>
      </w:r>
    </w:p>
    <w:p>
      <w:pPr>
        <w:pStyle w:val="ListParagraph"/>
        <w:numPr>
          <w:ilvl w:val="0"/>
          <w:numId w:val="5"/>
        </w:numPr>
        <w:spacing w:before="40" w:after="40"/>
      </w:pPr>
      <w:r>
        <w:rPr>
          <w:rFonts w:ascii="Arial" w:cs="Arial" w:eastAsia="Arial" w:hAnsi="Arial"/>
          <w:b/>
          <w:bCs/>
          <w:sz w:val="22"/>
          <w:szCs w:val="22"/>
        </w:rPr>
        <w:t xml:space="preserve">Geopolitical Event: </w:t>
      </w:r>
      <w:r>
        <w:rPr>
          <w:rFonts w:ascii="Arial" w:cs="Arial" w:eastAsia="Arial" w:hAnsi="Arial"/>
          <w:sz w:val="22"/>
          <w:szCs w:val="22"/>
        </w:rPr>
        <w:t xml:space="preserve">Sanctions, trade restrictions, political instability, or new data sovereignty requirements affecting vendor operations</w:t>
      </w:r>
    </w:p>
    <w:p>
      <w:pPr>
        <w:spacing w:before="60" w:after="60"/>
      </w:pPr>
    </w:p>
    <w:p>
      <w:pPr>
        <w:pStyle w:val="Heading2"/>
        <w:spacing w:before="280" w:after="160"/>
      </w:pPr>
      <w:r>
        <w:rPr>
          <w:rFonts w:ascii="Arial" w:cs="Arial" w:eastAsia="Arial" w:hAnsi="Arial"/>
          <w:b/>
          <w:bCs/>
          <w:color w:val="2E75B6"/>
          <w:sz w:val="28"/>
          <w:szCs w:val="28"/>
        </w:rPr>
        <w:t xml:space="preserve">V.7.4 Monitoring Escalation Protocol</w:t>
      </w:r>
    </w:p>
    <w:p>
      <w:pPr>
        <w:spacing w:before="80" w:after="80"/>
      </w:pPr>
      <w:r>
        <w:rPr>
          <w:rFonts w:ascii="Arial" w:cs="Arial" w:eastAsia="Arial" w:hAnsi="Arial"/>
          <w:sz w:val="22"/>
          <w:szCs w:val="22"/>
        </w:rPr>
        <w:t xml:space="preserve">When monitoring activities detect a material change in vendor risk posture, the following escalation protocol is activated: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760"/>
        <w:gridCol w:w="2000"/>
      </w:tblGrid>
      <w:tr>
        <w:trPr>
          <w:tblHeader/>
        </w:trPr>
        <w:tc>
          <w:tcPr>
            <w:tcW w:type="dxa" w:w="14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Escalation Level</w:t>
            </w:r>
          </w:p>
        </w:tc>
        <w:tc>
          <w:tcPr>
            <w:tcW w:type="dxa" w:w="2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Trigger Condition</w:t>
            </w:r>
          </w:p>
        </w:tc>
        <w:tc>
          <w:tcPr>
            <w:tcW w:type="dxa" w:w="37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Actions</w:t>
            </w:r>
          </w:p>
        </w:tc>
        <w:tc>
          <w:tcPr>
            <w:tcW w:type="dxa" w:w="2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Timeline</w:t>
            </w:r>
          </w:p>
        </w:tc>
      </w:tr>
      <w:tr>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Level 1: Watch</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Minor risk indicator change; VRS increase of 5-10 points</w:t>
            </w:r>
          </w:p>
        </w:tc>
        <w:tc>
          <w:tcPr>
            <w:tcW w:type="dxa" w:w="3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Increased monitoring frequency; risk analyst review; vendor notification</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Assessment within 10 business days</w:t>
            </w:r>
          </w:p>
        </w:tc>
      </w:tr>
      <w:tr>
        <w:tc>
          <w:tcPr>
            <w:tcW w:type="dxa" w:w="1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Level 2: Concern</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Moderate risk indicator change; VRS increase of 11-25 points; single SLA breach</w:t>
            </w:r>
          </w:p>
        </w:tc>
        <w:tc>
          <w:tcPr>
            <w:tcW w:type="dxa" w:w="3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Formal vendor engagement; remediation plan request; business owner notification; monitoring upgrade</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Remediation plan within 15 business days</w:t>
            </w:r>
          </w:p>
        </w:tc>
      </w:tr>
      <w:tr>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Level 3: Elevated</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Significant risk indicator change; VRS increase &gt;25 points; repeated SLA failures; security incident</w:t>
            </w:r>
          </w:p>
        </w:tc>
        <w:tc>
          <w:tcPr>
            <w:tcW w:type="dxa" w:w="3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Executive notification; mandatory remediation plan with milestones; enhanced contractual protections; exit planning initiated</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Remediation plan within 5 business days</w:t>
            </w:r>
          </w:p>
        </w:tc>
      </w:tr>
      <w:tr>
        <w:tc>
          <w:tcPr>
            <w:tcW w:type="dxa" w:w="1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Level 4: Critical</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Confirmed data breach; active regulatory investigation; financial insolvency; catastrophic service failure</w:t>
            </w:r>
          </w:p>
        </w:tc>
        <w:tc>
          <w:tcPr>
            <w:tcW w:type="dxa" w:w="3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Immediate executive escalation; incident response activation; business continuity plan execution; potential contract suspension; accelerated exit execution</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Immediate response within 24 hours</w:t>
            </w:r>
          </w:p>
        </w:tc>
      </w:tr>
    </w:tbl>
    <w:p>
      <w:r>
        <w:br w:type="page"/>
      </w:r>
    </w:p>
    <w:p>
      <w:pPr>
        <w:pStyle w:val="Heading1"/>
        <w:spacing w:before="360" w:after="200"/>
      </w:pPr>
      <w:r>
        <w:rPr>
          <w:rFonts w:ascii="Arial" w:cs="Arial" w:eastAsia="Arial" w:hAnsi="Arial"/>
          <w:b/>
          <w:bCs/>
          <w:color w:val="1B3A5C"/>
          <w:sz w:val="32"/>
          <w:szCs w:val="32"/>
        </w:rPr>
        <w:t xml:space="preserve">V.8 Vendor Performance Management</w:t>
      </w:r>
    </w:p>
    <w:p>
      <w:pPr>
        <w:spacing w:before="60" w:after="60"/>
      </w:pPr>
    </w:p>
    <w:p>
      <w:pPr>
        <w:pStyle w:val="Heading2"/>
        <w:spacing w:before="280" w:after="160"/>
      </w:pPr>
      <w:r>
        <w:rPr>
          <w:rFonts w:ascii="Arial" w:cs="Arial" w:eastAsia="Arial" w:hAnsi="Arial"/>
          <w:b/>
          <w:bCs/>
          <w:color w:val="2E75B6"/>
          <w:sz w:val="28"/>
          <w:szCs w:val="28"/>
        </w:rPr>
        <w:t xml:space="preserve">V.8.1 Performance Management Framework</w:t>
      </w:r>
    </w:p>
    <w:p>
      <w:pPr>
        <w:spacing w:before="80" w:after="80"/>
      </w:pPr>
      <w:r>
        <w:rPr>
          <w:rFonts w:ascii="Arial" w:cs="Arial" w:eastAsia="Arial" w:hAnsi="Arial"/>
          <w:sz w:val="22"/>
          <w:szCs w:val="22"/>
        </w:rPr>
        <w:t xml:space="preserve">Vendor performance management extends beyond SLA compliance tracking to encompass a holistic evaluation of vendor value delivery, relationship health, and strategic alignment. The performance management framework provides structured mechanisms for evaluating vendor contributions, addressing performance deficiencies, and making informed decisions about relationship continuity.</w:t>
      </w:r>
    </w:p>
    <w:p>
      <w:pPr>
        <w:spacing w:before="60" w:after="60"/>
      </w:pPr>
    </w:p>
    <w:p>
      <w:pPr>
        <w:pStyle w:val="Heading2"/>
        <w:spacing w:before="280" w:after="160"/>
      </w:pPr>
      <w:r>
        <w:rPr>
          <w:rFonts w:ascii="Arial" w:cs="Arial" w:eastAsia="Arial" w:hAnsi="Arial"/>
          <w:b/>
          <w:bCs/>
          <w:color w:val="2E75B6"/>
          <w:sz w:val="28"/>
          <w:szCs w:val="28"/>
        </w:rPr>
        <w:t xml:space="preserve">V.8.2 Vendor Scorecard Dimensions</w:t>
      </w:r>
    </w:p>
    <w:p>
      <w:pPr>
        <w:spacing w:before="80" w:after="80"/>
      </w:pPr>
      <w:r>
        <w:rPr>
          <w:rFonts w:ascii="Arial" w:cs="Arial" w:eastAsia="Arial" w:hAnsi="Arial"/>
          <w:sz w:val="22"/>
          <w:szCs w:val="22"/>
        </w:rPr>
        <w:t xml:space="preserve">Each vendor is evaluated against a balanced scorecard comprising five weighted dimensions:</w:t>
      </w:r>
    </w:p>
    <w:p>
      <w:pPr>
        <w:spacing w:before="60" w:after="60"/>
      </w:pP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260"/>
        <w:gridCol w:w="2200"/>
      </w:tblGrid>
      <w:tr>
        <w:trPr>
          <w:tblHeader/>
        </w:trPr>
        <w:tc>
          <w:tcPr>
            <w:tcW w:type="dxa" w:w="1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Dimension</w:t>
            </w:r>
          </w:p>
        </w:tc>
        <w:tc>
          <w:tcPr>
            <w:tcW w:type="dxa" w:w="9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Weight</w:t>
            </w:r>
          </w:p>
        </w:tc>
        <w:tc>
          <w:tcPr>
            <w:tcW w:type="dxa" w:w="32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Metrics</w:t>
            </w:r>
          </w:p>
        </w:tc>
        <w:tc>
          <w:tcPr>
            <w:tcW w:type="dxa" w:w="2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Evaluation Method</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Service Quality</w:t>
            </w:r>
          </w:p>
        </w:tc>
        <w:tc>
          <w:tcPr>
            <w:tcW w:type="dxa" w:w="9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30%</w:t>
            </w:r>
          </w:p>
        </w:tc>
        <w:tc>
          <w:tcPr>
            <w:tcW w:type="dxa" w:w="32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Uptime achievement, incident frequency and severity, mean time to resolution, change success rate, customer satisfaction scores</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Automated monitoring + quarterly business review</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Security Posture</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25%</w:t>
            </w:r>
          </w:p>
        </w:tc>
        <w:tc>
          <w:tcPr>
            <w:tcW w:type="dxa" w:w="32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Assessment score, vulnerability management timeliness, incident response effectiveness, certification currency, security improvement trajectory</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Continuous monitoring + annual assessment</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Contractual Compliance</w:t>
            </w:r>
          </w:p>
        </w:tc>
        <w:tc>
          <w:tcPr>
            <w:tcW w:type="dxa" w:w="9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20%</w:t>
            </w:r>
          </w:p>
        </w:tc>
        <w:tc>
          <w:tcPr>
            <w:tcW w:type="dxa" w:w="32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SLA attainment rates, reporting timeliness, audit responsiveness, data handling compliance, notification adherence</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Automated tracking + contract review</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Relationship Quality</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15%</w:t>
            </w:r>
          </w:p>
        </w:tc>
        <w:tc>
          <w:tcPr>
            <w:tcW w:type="dxa" w:w="32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Communication responsiveness, escalation effectiveness, proactive risk communication, innovation contribution, account team stability</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Quarterly business review + stakeholder survey</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Strategic Value</w:t>
            </w:r>
          </w:p>
        </w:tc>
        <w:tc>
          <w:tcPr>
            <w:tcW w:type="dxa" w:w="9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10%</w:t>
            </w:r>
          </w:p>
        </w:tc>
        <w:tc>
          <w:tcPr>
            <w:tcW w:type="dxa" w:w="32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Roadmap alignment, technology innovation, market position, competitive pricing, ecosystem integration capability</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Annual strategic review</w:t>
            </w:r>
          </w:p>
        </w:tc>
      </w:tr>
    </w:tbl>
    <w:p>
      <w:pPr>
        <w:spacing w:before="60" w:after="60"/>
      </w:pPr>
    </w:p>
    <w:p>
      <w:pPr>
        <w:pStyle w:val="Heading2"/>
        <w:spacing w:before="280" w:after="160"/>
      </w:pPr>
      <w:r>
        <w:rPr>
          <w:rFonts w:ascii="Arial" w:cs="Arial" w:eastAsia="Arial" w:hAnsi="Arial"/>
          <w:b/>
          <w:bCs/>
          <w:color w:val="2E75B6"/>
          <w:sz w:val="28"/>
          <w:szCs w:val="28"/>
        </w:rPr>
        <w:t xml:space="preserve">V.8.3 Performance Improvement Protocol</w:t>
      </w:r>
    </w:p>
    <w:p>
      <w:pPr>
        <w:spacing w:before="80" w:after="80"/>
      </w:pPr>
      <w:r>
        <w:rPr>
          <w:rFonts w:ascii="Arial" w:cs="Arial" w:eastAsia="Arial" w:hAnsi="Arial"/>
          <w:sz w:val="22"/>
          <w:szCs w:val="22"/>
        </w:rPr>
        <w:t xml:space="preserve">When vendor performance falls below acceptable thresholds, the following graduated improvement protocol is initiated: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760"/>
        <w:gridCol w:w="1800"/>
      </w:tblGrid>
      <w:tr>
        <w:trPr>
          <w:tblHeader/>
        </w:trPr>
        <w:tc>
          <w:tcPr>
            <w:tcW w:type="dxa" w:w="1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2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Trigger</w:t>
            </w:r>
          </w:p>
        </w:tc>
        <w:tc>
          <w:tcPr>
            <w:tcW w:type="dxa" w:w="37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Actions</w:t>
            </w:r>
          </w:p>
        </w:tc>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Duration</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Informal Engagement</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Scorecard dimension drops below 70%</w:t>
            </w:r>
          </w:p>
        </w:tc>
        <w:tc>
          <w:tcPr>
            <w:tcW w:type="dxa" w:w="3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Direct discussion with vendor account team; identification of root causes; agreement on improvement actions</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30 days</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Formal Performance Notice</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Scorecard dimension remains below 70% after informal engagement, or drops below 60%</w:t>
            </w:r>
          </w:p>
        </w:tc>
        <w:tc>
          <w:tcPr>
            <w:tcW w:type="dxa" w:w="3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Written performance notice; formal improvement plan with measurable milestones; increased reporting frequency; executive sponsor engagement</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60 days</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Performance Improvement Plan</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Failure to meet formal improvement milestones, or overall scorecard below 60%</w:t>
            </w:r>
          </w:p>
        </w:tc>
        <w:tc>
          <w:tcPr>
            <w:tcW w:type="dxa" w:w="3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Structured PIP with weekly status meetings; defined success criteria; contract penalty activation; alternative vendor evaluation initiated</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90 days</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Relationship Termination Review</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PIP failure, or critical performance failure affecting business operations</w:t>
            </w:r>
          </w:p>
        </w:tc>
        <w:tc>
          <w:tcPr>
            <w:tcW w:type="dxa" w:w="3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Executive review of relationship viability; exit plan activation; transition planning; contract termination proceedings</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Per exit plan timeline</w:t>
            </w:r>
          </w:p>
        </w:tc>
      </w:tr>
    </w:tbl>
    <w:p>
      <w:pPr>
        <w:spacing w:before="60" w:after="60"/>
      </w:pPr>
    </w:p>
    <w:p>
      <w:pPr>
        <w:pStyle w:val="Heading2"/>
        <w:spacing w:before="280" w:after="160"/>
      </w:pPr>
      <w:r>
        <w:rPr>
          <w:rFonts w:ascii="Arial" w:cs="Arial" w:eastAsia="Arial" w:hAnsi="Arial"/>
          <w:b/>
          <w:bCs/>
          <w:color w:val="2E75B6"/>
          <w:sz w:val="28"/>
          <w:szCs w:val="28"/>
        </w:rPr>
        <w:t xml:space="preserve">V.8.4 Quarterly Business Reviews</w:t>
      </w:r>
    </w:p>
    <w:p>
      <w:pPr>
        <w:spacing w:before="80" w:after="80"/>
      </w:pPr>
      <w:r>
        <w:rPr>
          <w:rFonts w:ascii="Arial" w:cs="Arial" w:eastAsia="Arial" w:hAnsi="Arial"/>
          <w:sz w:val="22"/>
          <w:szCs w:val="22"/>
        </w:rPr>
        <w:t xml:space="preserve">Critical and High-tier vendors are subject to mandatory quarterly business reviews (QBRs) that provide a structured forum for performance evaluation, risk discussion, and strategic alignment. QBR agendas must include: performance scorecard review with trend analysis, security posture update and assessment findings, incident post-mortems and lessons learned, upcoming changes and their risk implications, strategic roadmap alignment discussion, open issues and action items tracking, and mutual feedback exchange. Medium-tier vendors participate in semi-annual reviews, while Low-tier vendors are reviewed on an as-needed basis.</w:t>
      </w:r>
    </w:p>
    <w:p>
      <w:r>
        <w:br w:type="page"/>
      </w:r>
    </w:p>
    <w:p>
      <w:pPr>
        <w:pStyle w:val="Heading1"/>
        <w:spacing w:before="360" w:after="200"/>
      </w:pPr>
      <w:r>
        <w:rPr>
          <w:rFonts w:ascii="Arial" w:cs="Arial" w:eastAsia="Arial" w:hAnsi="Arial"/>
          <w:b/>
          <w:bCs/>
          <w:color w:val="1B3A5C"/>
          <w:sz w:val="32"/>
          <w:szCs w:val="32"/>
        </w:rPr>
        <w:t xml:space="preserve">V.9 Fourth-Party and Supply Chain Risk Management</w:t>
      </w:r>
    </w:p>
    <w:p>
      <w:pPr>
        <w:spacing w:before="60" w:after="60"/>
      </w:pPr>
    </w:p>
    <w:p>
      <w:pPr>
        <w:pStyle w:val="Heading2"/>
        <w:spacing w:before="280" w:after="160"/>
      </w:pPr>
      <w:r>
        <w:rPr>
          <w:rFonts w:ascii="Arial" w:cs="Arial" w:eastAsia="Arial" w:hAnsi="Arial"/>
          <w:b/>
          <w:bCs/>
          <w:color w:val="2E75B6"/>
          <w:sz w:val="28"/>
          <w:szCs w:val="28"/>
        </w:rPr>
        <w:t xml:space="preserve">V.9.1 Fourth-Party Risk Framework</w:t>
      </w:r>
    </w:p>
    <w:p>
      <w:pPr>
        <w:spacing w:before="80" w:after="80"/>
      </w:pPr>
      <w:r>
        <w:rPr>
          <w:rFonts w:ascii="Arial" w:cs="Arial" w:eastAsia="Arial" w:hAnsi="Arial"/>
          <w:sz w:val="22"/>
          <w:szCs w:val="22"/>
        </w:rPr>
        <w:t xml:space="preserve">Fourth-party risk, the risk introduced by vendors' own vendors and subcontractors, represents one of the most challenging and rapidly growing dimensions of third-party risk management. As vendors increasingly rely on cloud infrastructure providers, managed services, open-source components, and outsourced operations, the enterprise's effective attack surface extends far beyond its direct vendor relationships.</w:t>
      </w:r>
    </w:p>
    <w:p>
      <w:pPr>
        <w:spacing w:before="80" w:after="80"/>
      </w:pPr>
      <w:r>
        <w:rPr>
          <w:rFonts w:ascii="Arial" w:cs="Arial" w:eastAsia="Arial" w:hAnsi="Arial"/>
          <w:sz w:val="22"/>
          <w:szCs w:val="22"/>
        </w:rPr>
        <w:t xml:space="preserve">The TPRM framework addresses fourth-party risk through a structured approach that balances transparency requirements with practical limitations in supply chain visibility.</w:t>
      </w:r>
    </w:p>
    <w:p>
      <w:pPr>
        <w:spacing w:before="60" w:after="60"/>
      </w:pPr>
    </w:p>
    <w:p>
      <w:pPr>
        <w:pStyle w:val="Heading2"/>
        <w:spacing w:before="280" w:after="160"/>
      </w:pPr>
      <w:r>
        <w:rPr>
          <w:rFonts w:ascii="Arial" w:cs="Arial" w:eastAsia="Arial" w:hAnsi="Arial"/>
          <w:b/>
          <w:bCs/>
          <w:color w:val="2E75B6"/>
          <w:sz w:val="28"/>
          <w:szCs w:val="28"/>
        </w:rPr>
        <w:t xml:space="preserve">V.9.2 Subcontractor Governance Requirements</w:t>
      </w:r>
    </w:p>
    <w:p>
      <w:pPr>
        <w:spacing w:before="80" w:after="80"/>
      </w:pPr>
      <w:r>
        <w:rPr>
          <w:rFonts w:ascii="Arial" w:cs="Arial" w:eastAsia="Arial" w:hAnsi="Arial"/>
          <w:sz w:val="22"/>
          <w:szCs w:val="22"/>
        </w:rPr>
        <w:t xml:space="preserve">Requirements for vendor management of their own subcontractors are defined by tier: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rPr>
          <w:tblHeader/>
        </w:trPr>
        <w:tc>
          <w:tcPr>
            <w:tcW w:type="dxa" w:w="2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Requirement</w:t>
            </w:r>
          </w:p>
        </w:tc>
        <w:tc>
          <w:tcPr>
            <w:tcW w:type="dxa" w:w="2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Critical Tier</w:t>
            </w:r>
          </w:p>
        </w:tc>
        <w:tc>
          <w:tcPr>
            <w:tcW w:type="dxa" w:w="25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High Tier</w:t>
            </w:r>
          </w:p>
        </w:tc>
        <w:tc>
          <w:tcPr>
            <w:tcW w:type="dxa" w:w="2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Medium Tier</w:t>
            </w:r>
          </w:p>
        </w:tc>
      </w:tr>
      <w:tr>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Subcontractor Disclosure</w:t>
            </w:r>
          </w:p>
        </w:tc>
        <w:tc>
          <w:tcPr>
            <w:tcW w:type="dxa" w:w="2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Complete list of all subcontractors with access to enterprise data; updated within 5 business days of changes</w:t>
            </w:r>
          </w:p>
        </w:tc>
        <w:tc>
          <w:tcPr>
            <w:tcW w:type="dxa" w:w="25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List of material subcontractors; updated quarterly</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Annual disclosure of key subcontractors</w:t>
            </w:r>
          </w:p>
        </w:tc>
      </w:tr>
      <w:tr>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Approval Rights</w:t>
            </w:r>
          </w:p>
        </w:tc>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Prior written approval required for new subcontractors processing enterprise data; 30-day objection period</w:t>
            </w:r>
          </w:p>
        </w:tc>
        <w:tc>
          <w:tcPr>
            <w:tcW w:type="dxa" w:w="2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Notification with 15-day objection period for material changes</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Notification only</w:t>
            </w:r>
          </w:p>
        </w:tc>
      </w:tr>
      <w:tr>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Assessment Cascade</w:t>
            </w:r>
          </w:p>
        </w:tc>
        <w:tc>
          <w:tcPr>
            <w:tcW w:type="dxa" w:w="2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Vendor must apply equivalent security assessment to subcontractors; evidence of subcontractor assessments required</w:t>
            </w:r>
          </w:p>
        </w:tc>
        <w:tc>
          <w:tcPr>
            <w:tcW w:type="dxa" w:w="25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Vendor must maintain subcontractor security requirements; summary evidence required</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Vendor attestation of subcontractor management</w:t>
            </w:r>
          </w:p>
        </w:tc>
      </w:tr>
      <w:tr>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Contractual Flow-Down</w:t>
            </w:r>
          </w:p>
        </w:tc>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All material security, privacy, and compliance obligations must flow down to subcontractors</w:t>
            </w:r>
          </w:p>
        </w:tc>
        <w:tc>
          <w:tcPr>
            <w:tcW w:type="dxa" w:w="2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Key security and privacy obligations must flow down</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Standard flow-down of data protection terms</w:t>
            </w:r>
          </w:p>
        </w:tc>
      </w:tr>
      <w:tr>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Incident Notification</w:t>
            </w:r>
          </w:p>
        </w:tc>
        <w:tc>
          <w:tcPr>
            <w:tcW w:type="dxa" w:w="2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Vendor must notify enterprise of subcontractor incidents within 24 hours; same SLA as direct vendor incidents</w:t>
            </w:r>
          </w:p>
        </w:tc>
        <w:tc>
          <w:tcPr>
            <w:tcW w:type="dxa" w:w="25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48-hour notification for material subcontractor incidents</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72-hour notification</w:t>
            </w:r>
          </w:p>
        </w:tc>
      </w:tr>
    </w:tbl>
    <w:p>
      <w:pPr>
        <w:spacing w:before="60" w:after="60"/>
      </w:pPr>
    </w:p>
    <w:p>
      <w:pPr>
        <w:pStyle w:val="Heading2"/>
        <w:spacing w:before="280" w:after="160"/>
      </w:pPr>
      <w:r>
        <w:rPr>
          <w:rFonts w:ascii="Arial" w:cs="Arial" w:eastAsia="Arial" w:hAnsi="Arial"/>
          <w:b/>
          <w:bCs/>
          <w:color w:val="2E75B6"/>
          <w:sz w:val="28"/>
          <w:szCs w:val="28"/>
        </w:rPr>
        <w:t xml:space="preserve">V.9.3 Concentration Risk Analysis</w:t>
      </w:r>
    </w:p>
    <w:p>
      <w:pPr>
        <w:spacing w:before="80" w:after="80"/>
      </w:pPr>
      <w:r>
        <w:rPr>
          <w:rFonts w:ascii="Arial" w:cs="Arial" w:eastAsia="Arial" w:hAnsi="Arial"/>
          <w:sz w:val="22"/>
          <w:szCs w:val="22"/>
        </w:rPr>
        <w:t xml:space="preserve">The TPRM program maintains a concentration risk registry that maps critical fourth-party dependencies across the vendor portfolio. This analysis identifies scenarios where multiple vendors depend on the same underlying infrastructure provider, creating hidden single points of failure. The concentration risk analysis covers:</w:t>
      </w:r>
    </w:p>
    <w:p>
      <w:pPr>
        <w:pStyle w:val="ListParagraph"/>
        <w:numPr>
          <w:ilvl w:val="0"/>
          <w:numId w:val="2"/>
        </w:numPr>
        <w:spacing w:before="40" w:after="40"/>
      </w:pPr>
      <w:r>
        <w:rPr>
          <w:rFonts w:ascii="Arial" w:cs="Arial" w:eastAsia="Arial" w:hAnsi="Arial"/>
          <w:b/>
          <w:bCs/>
          <w:sz w:val="22"/>
          <w:szCs w:val="22"/>
        </w:rPr>
        <w:t xml:space="preserve">Cloud Infrastructure Concentration: </w:t>
      </w:r>
      <w:r>
        <w:rPr>
          <w:rFonts w:ascii="Arial" w:cs="Arial" w:eastAsia="Arial" w:hAnsi="Arial"/>
          <w:sz w:val="22"/>
          <w:szCs w:val="22"/>
        </w:rPr>
        <w:t xml:space="preserve">Mapping of vendor dependencies on major cloud providers (AWS, Azure, GCP) to identify cascading failure scenarios where a cloud provider outage would simultaneously affect multiple vendor relationships</w:t>
      </w:r>
    </w:p>
    <w:p>
      <w:pPr>
        <w:pStyle w:val="ListParagraph"/>
        <w:numPr>
          <w:ilvl w:val="0"/>
          <w:numId w:val="2"/>
        </w:numPr>
        <w:spacing w:before="40" w:after="40"/>
      </w:pPr>
      <w:r>
        <w:rPr>
          <w:rFonts w:ascii="Arial" w:cs="Arial" w:eastAsia="Arial" w:hAnsi="Arial"/>
          <w:b/>
          <w:bCs/>
          <w:sz w:val="22"/>
          <w:szCs w:val="22"/>
        </w:rPr>
        <w:t xml:space="preserve">Geographic Concentration: </w:t>
      </w:r>
      <w:r>
        <w:rPr>
          <w:rFonts w:ascii="Arial" w:cs="Arial" w:eastAsia="Arial" w:hAnsi="Arial"/>
          <w:sz w:val="22"/>
          <w:szCs w:val="22"/>
        </w:rPr>
        <w:t xml:space="preserve">Analysis of vendor and subcontractor data processing locations to identify geographic concentration risks including natural disaster exposure, geopolitical instability, and data sovereignty compliance</w:t>
      </w:r>
    </w:p>
    <w:p>
      <w:pPr>
        <w:pStyle w:val="ListParagraph"/>
        <w:numPr>
          <w:ilvl w:val="0"/>
          <w:numId w:val="2"/>
        </w:numPr>
        <w:spacing w:before="40" w:after="40"/>
      </w:pPr>
      <w:r>
        <w:rPr>
          <w:rFonts w:ascii="Arial" w:cs="Arial" w:eastAsia="Arial" w:hAnsi="Arial"/>
          <w:b/>
          <w:bCs/>
          <w:sz w:val="22"/>
          <w:szCs w:val="22"/>
        </w:rPr>
        <w:t xml:space="preserve">Technology Stack Concentration: </w:t>
      </w:r>
      <w:r>
        <w:rPr>
          <w:rFonts w:ascii="Arial" w:cs="Arial" w:eastAsia="Arial" w:hAnsi="Arial"/>
          <w:sz w:val="22"/>
          <w:szCs w:val="22"/>
        </w:rPr>
        <w:t xml:space="preserve">Identification of shared technology dependencies across vendors, including common databases, middleware, authentication providers, or open-source components with known vulnerability patterns</w:t>
      </w:r>
    </w:p>
    <w:p>
      <w:pPr>
        <w:pStyle w:val="ListParagraph"/>
        <w:numPr>
          <w:ilvl w:val="0"/>
          <w:numId w:val="2"/>
        </w:numPr>
        <w:spacing w:before="40" w:after="40"/>
      </w:pPr>
      <w:r>
        <w:rPr>
          <w:rFonts w:ascii="Arial" w:cs="Arial" w:eastAsia="Arial" w:hAnsi="Arial"/>
          <w:b/>
          <w:bCs/>
          <w:sz w:val="22"/>
          <w:szCs w:val="22"/>
        </w:rPr>
        <w:t xml:space="preserve">Key Personnel Concentration: </w:t>
      </w:r>
      <w:r>
        <w:rPr>
          <w:rFonts w:ascii="Arial" w:cs="Arial" w:eastAsia="Arial" w:hAnsi="Arial"/>
          <w:sz w:val="22"/>
          <w:szCs w:val="22"/>
        </w:rPr>
        <w:t xml:space="preserve">Assessment of vendor reliance on specific individuals or small teams whose departure could materially impact service delivery or security posture</w:t>
      </w:r>
    </w:p>
    <w:p>
      <w:pPr>
        <w:spacing w:before="60" w:after="60"/>
      </w:pPr>
    </w:p>
    <w:p>
      <w:pPr>
        <w:pStyle w:val="Heading2"/>
        <w:spacing w:before="280" w:after="160"/>
      </w:pPr>
      <w:r>
        <w:rPr>
          <w:rFonts w:ascii="Arial" w:cs="Arial" w:eastAsia="Arial" w:hAnsi="Arial"/>
          <w:b/>
          <w:bCs/>
          <w:color w:val="2E75B6"/>
          <w:sz w:val="28"/>
          <w:szCs w:val="28"/>
        </w:rPr>
        <w:t xml:space="preserve">V.9.4 Software Supply Chain Security Integration</w:t>
      </w:r>
    </w:p>
    <w:p>
      <w:pPr>
        <w:spacing w:before="80" w:after="80"/>
      </w:pPr>
      <w:r>
        <w:rPr>
          <w:rFonts w:ascii="Arial" w:cs="Arial" w:eastAsia="Arial" w:hAnsi="Arial"/>
          <w:sz w:val="22"/>
          <w:szCs w:val="22"/>
        </w:rPr>
        <w:t xml:space="preserve">The fourth-party risk framework integrates with the DevSecOps Software Supply Chain Security capabilities defined in Part IV to provide end-to-end visibility into the software components that comprise vendor solutions:</w:t>
      </w:r>
    </w:p>
    <w:p>
      <w:pPr>
        <w:pStyle w:val="ListParagraph"/>
        <w:numPr>
          <w:ilvl w:val="0"/>
          <w:numId w:val="2"/>
        </w:numPr>
        <w:spacing w:before="40" w:after="40"/>
      </w:pPr>
      <w:r>
        <w:rPr>
          <w:rFonts w:ascii="Arial" w:cs="Arial" w:eastAsia="Arial" w:hAnsi="Arial"/>
          <w:b/>
          <w:bCs/>
          <w:sz w:val="22"/>
          <w:szCs w:val="22"/>
        </w:rPr>
        <w:t xml:space="preserve">SBOM Requirements: </w:t>
      </w:r>
      <w:r>
        <w:rPr>
          <w:rFonts w:ascii="Arial" w:cs="Arial" w:eastAsia="Arial" w:hAnsi="Arial"/>
          <w:sz w:val="22"/>
          <w:szCs w:val="22"/>
        </w:rPr>
        <w:t xml:space="preserve">Critical and High-tier vendors must provide Software Bills of Materials for all software components deployed in the enterprise environment, enabling dependency tracking and vulnerability correlation</w:t>
      </w:r>
    </w:p>
    <w:p>
      <w:pPr>
        <w:pStyle w:val="ListParagraph"/>
        <w:numPr>
          <w:ilvl w:val="0"/>
          <w:numId w:val="2"/>
        </w:numPr>
        <w:spacing w:before="40" w:after="40"/>
      </w:pPr>
      <w:r>
        <w:rPr>
          <w:rFonts w:ascii="Arial" w:cs="Arial" w:eastAsia="Arial" w:hAnsi="Arial"/>
          <w:b/>
          <w:bCs/>
          <w:sz w:val="22"/>
          <w:szCs w:val="22"/>
        </w:rPr>
        <w:t xml:space="preserve">Vulnerability Cascade Tracking: </w:t>
      </w:r>
      <w:r>
        <w:rPr>
          <w:rFonts w:ascii="Arial" w:cs="Arial" w:eastAsia="Arial" w:hAnsi="Arial"/>
          <w:sz w:val="22"/>
          <w:szCs w:val="22"/>
        </w:rPr>
        <w:t xml:space="preserve">When a vulnerability is disclosed in a widely-used component, the TPRM system automatically identifies all vendors potentially affected and triggers targeted assessment activities</w:t>
      </w:r>
    </w:p>
    <w:p>
      <w:pPr>
        <w:pStyle w:val="ListParagraph"/>
        <w:numPr>
          <w:ilvl w:val="0"/>
          <w:numId w:val="2"/>
        </w:numPr>
        <w:spacing w:before="40" w:after="40"/>
      </w:pPr>
      <w:r>
        <w:rPr>
          <w:rFonts w:ascii="Arial" w:cs="Arial" w:eastAsia="Arial" w:hAnsi="Arial"/>
          <w:b/>
          <w:bCs/>
          <w:sz w:val="22"/>
          <w:szCs w:val="22"/>
        </w:rPr>
        <w:t xml:space="preserve">Build Provenance Verification: </w:t>
      </w:r>
      <w:r>
        <w:rPr>
          <w:rFonts w:ascii="Arial" w:cs="Arial" w:eastAsia="Arial" w:hAnsi="Arial"/>
          <w:sz w:val="22"/>
          <w:szCs w:val="22"/>
        </w:rPr>
        <w:t xml:space="preserve">For Critical-tier vendors, the framework verifies software build provenance through SLSA framework attestations, ensuring that vendor software has not been tampered with during the build and distribution process</w:t>
      </w:r>
    </w:p>
    <w:p>
      <w:r>
        <w:br w:type="page"/>
      </w:r>
    </w:p>
    <w:p>
      <w:pPr>
        <w:pStyle w:val="Heading1"/>
        <w:spacing w:before="360" w:after="200"/>
      </w:pPr>
      <w:r>
        <w:rPr>
          <w:rFonts w:ascii="Arial" w:cs="Arial" w:eastAsia="Arial" w:hAnsi="Arial"/>
          <w:b/>
          <w:bCs/>
          <w:color w:val="1B3A5C"/>
          <w:sz w:val="32"/>
          <w:szCs w:val="32"/>
        </w:rPr>
        <w:t xml:space="preserve">V.10 Regulatory Compliance and Data Privacy</w:t>
      </w:r>
    </w:p>
    <w:p>
      <w:pPr>
        <w:spacing w:before="60" w:after="60"/>
      </w:pPr>
    </w:p>
    <w:p>
      <w:pPr>
        <w:pStyle w:val="Heading2"/>
        <w:spacing w:before="280" w:after="160"/>
      </w:pPr>
      <w:r>
        <w:rPr>
          <w:rFonts w:ascii="Arial" w:cs="Arial" w:eastAsia="Arial" w:hAnsi="Arial"/>
          <w:b/>
          <w:bCs/>
          <w:color w:val="2E75B6"/>
          <w:sz w:val="28"/>
          <w:szCs w:val="28"/>
        </w:rPr>
        <w:t xml:space="preserve">V.10.1 Regulatory Landscape Mapping</w:t>
      </w:r>
    </w:p>
    <w:p>
      <w:pPr>
        <w:spacing w:before="80" w:after="80"/>
      </w:pPr>
      <w:r>
        <w:rPr>
          <w:rFonts w:ascii="Arial" w:cs="Arial" w:eastAsia="Arial" w:hAnsi="Arial"/>
          <w:sz w:val="22"/>
          <w:szCs w:val="22"/>
        </w:rPr>
        <w:t xml:space="preserve">Third-party relationships are subject to an increasingly complex web of regulatory requirements that vary by jurisdiction, industry sector, and data type. The TPRM framework maintains a regulatory mapping that links each vendor relationship to applicable regulatory obligations and ensures that assessment and monitoring activities provide evidence of compliance.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560"/>
        <w:gridCol w:w="3000"/>
      </w:tblGrid>
      <w:tr>
        <w:trPr>
          <w:tblHeader/>
        </w:trPr>
        <w:tc>
          <w:tcPr>
            <w:tcW w:type="dxa" w:w="1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Regulation</w:t>
            </w:r>
          </w:p>
        </w:tc>
        <w:tc>
          <w:tcPr>
            <w:tcW w:type="dxa" w:w="1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Scope</w:t>
            </w:r>
          </w:p>
        </w:tc>
        <w:tc>
          <w:tcPr>
            <w:tcW w:type="dxa" w:w="35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TPRM Requirements</w:t>
            </w:r>
          </w:p>
        </w:tc>
        <w:tc>
          <w:tcPr>
            <w:tcW w:type="dxa" w:w="3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Evidence Requirements</w:t>
            </w:r>
          </w:p>
        </w:tc>
      </w:tr>
      <w:tr>
        <w:tc>
          <w:tcPr>
            <w:tcW w:type="dxa" w:w="1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SOC 2</w:t>
            </w:r>
          </w:p>
        </w:tc>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Service organizations</w:t>
            </w:r>
          </w:p>
        </w:tc>
        <w:tc>
          <w:tcPr>
            <w:tcW w:type="dxa" w:w="35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Trust Service Criteria coverage (Security, Availability, Processing Integrity, Confidentiality, Privacy); complementary user entity controls implementation</w:t>
            </w:r>
          </w:p>
        </w:tc>
        <w:tc>
          <w:tcPr>
            <w:tcW w:type="dxa" w:w="3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SOC 2 Type II report with opinion letter; bridge letter if &gt;12 months old</w:t>
            </w:r>
          </w:p>
        </w:tc>
      </w:tr>
      <w:tr>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HIPAA</w:t>
            </w:r>
          </w:p>
        </w:tc>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Protected Health Information</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Business Associate Agreement; PHI handling controls; breach notification (60 days); minimum necessary standard; access controls; audit logging</w:t>
            </w:r>
          </w:p>
        </w:tc>
        <w:tc>
          <w:tcPr>
            <w:tcW w:type="dxa" w:w="3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BAA execution; security risk analysis; breach notification procedures</w:t>
            </w:r>
          </w:p>
        </w:tc>
      </w:tr>
      <w:tr>
        <w:tc>
          <w:tcPr>
            <w:tcW w:type="dxa" w:w="1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PCI-DSS</w:t>
            </w:r>
          </w:p>
        </w:tc>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Payment card data</w:t>
            </w:r>
          </w:p>
        </w:tc>
        <w:tc>
          <w:tcPr>
            <w:tcW w:type="dxa" w:w="35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Validated compliance with applicable PCI-DSS requirements; segmentation testing; quarterly ASV scans; annual assessment</w:t>
            </w:r>
          </w:p>
        </w:tc>
        <w:tc>
          <w:tcPr>
            <w:tcW w:type="dxa" w:w="3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AOC or ROC; ASV scan reports; SAQ if applicable</w:t>
            </w:r>
          </w:p>
        </w:tc>
      </w:tr>
      <w:tr>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GDPR</w:t>
            </w:r>
          </w:p>
        </w:tc>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EU personal data</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Data Processing Agreement (Article 28); lawful transfer mechanisms (SCCs, adequacy); data subject rights support; DPO designation; DPIA requirements</w:t>
            </w:r>
          </w:p>
        </w:tc>
        <w:tc>
          <w:tcPr>
            <w:tcW w:type="dxa" w:w="3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DPA with Article 28 provisions; transfer impact assessment; processing records</w:t>
            </w:r>
          </w:p>
        </w:tc>
      </w:tr>
      <w:tr>
        <w:tc>
          <w:tcPr>
            <w:tcW w:type="dxa" w:w="1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CCPA/CPRA</w:t>
            </w:r>
          </w:p>
        </w:tc>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California resident data</w:t>
            </w:r>
          </w:p>
        </w:tc>
        <w:tc>
          <w:tcPr>
            <w:tcW w:type="dxa" w:w="35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Service provider agreement; data sale restrictions; consumer rights support; data retention limits; annual certification</w:t>
            </w:r>
          </w:p>
        </w:tc>
        <w:tc>
          <w:tcPr>
            <w:tcW w:type="dxa" w:w="3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Service provider addendum; processing disclosures; deletion capabilities</w:t>
            </w:r>
          </w:p>
        </w:tc>
      </w:tr>
      <w:tr>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DORA</w:t>
            </w:r>
          </w:p>
        </w:tc>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EU financial entities</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ICT third-party risk management; concentration risk reporting; exit strategies; critical provider oversight; incident reporting</w:t>
            </w:r>
          </w:p>
        </w:tc>
        <w:tc>
          <w:tcPr>
            <w:tcW w:type="dxa" w:w="3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DORA compliance attestation; exit plan documentation; incident procedures</w:t>
            </w:r>
          </w:p>
        </w:tc>
      </w:tr>
      <w:tr>
        <w:tc>
          <w:tcPr>
            <w:tcW w:type="dxa" w:w="1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FedRAMP</w:t>
            </w:r>
          </w:p>
        </w:tc>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US federal data</w:t>
            </w:r>
          </w:p>
        </w:tc>
        <w:tc>
          <w:tcPr>
            <w:tcW w:type="dxa" w:w="35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FedRAMP authorization (Moderate or High baseline); continuous monitoring; Plan of Actions and Milestones; annual assessment</w:t>
            </w:r>
          </w:p>
        </w:tc>
        <w:tc>
          <w:tcPr>
            <w:tcW w:type="dxa" w:w="3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FedRAMP ATO letter; ConMon reports; POA&amp;M status</w:t>
            </w:r>
          </w:p>
        </w:tc>
      </w:tr>
    </w:tbl>
    <w:p>
      <w:pPr>
        <w:spacing w:before="60" w:after="60"/>
      </w:pPr>
    </w:p>
    <w:p>
      <w:pPr>
        <w:pStyle w:val="Heading2"/>
        <w:spacing w:before="280" w:after="160"/>
      </w:pPr>
      <w:r>
        <w:rPr>
          <w:rFonts w:ascii="Arial" w:cs="Arial" w:eastAsia="Arial" w:hAnsi="Arial"/>
          <w:b/>
          <w:bCs/>
          <w:color w:val="2E75B6"/>
          <w:sz w:val="28"/>
          <w:szCs w:val="28"/>
        </w:rPr>
        <w:t xml:space="preserve">V.10.2 Data Privacy Governance</w:t>
      </w:r>
    </w:p>
    <w:p>
      <w:pPr>
        <w:spacing w:before="80" w:after="80"/>
      </w:pPr>
      <w:r>
        <w:rPr>
          <w:rFonts w:ascii="Arial" w:cs="Arial" w:eastAsia="Arial" w:hAnsi="Arial"/>
          <w:sz w:val="22"/>
          <w:szCs w:val="22"/>
        </w:rPr>
        <w:t xml:space="preserve">Data privacy management within TPRM requires specialized controls that address the unique challenges of entrusting personal data to third parties:</w:t>
      </w:r>
    </w:p>
    <w:p>
      <w:pPr>
        <w:pStyle w:val="Heading3"/>
        <w:spacing w:before="200" w:after="120"/>
      </w:pPr>
      <w:r>
        <w:rPr>
          <w:rFonts w:ascii="Arial" w:cs="Arial" w:eastAsia="Arial" w:hAnsi="Arial"/>
          <w:b/>
          <w:bCs/>
          <w:color w:val="1B3A5C"/>
          <w:sz w:val="24"/>
          <w:szCs w:val="24"/>
        </w:rPr>
        <w:t xml:space="preserve">Data Processing Agreements</w:t>
      </w:r>
    </w:p>
    <w:p>
      <w:pPr>
        <w:spacing w:before="80" w:after="80"/>
      </w:pPr>
      <w:r>
        <w:rPr>
          <w:rFonts w:ascii="Arial" w:cs="Arial" w:eastAsia="Arial" w:hAnsi="Arial"/>
          <w:sz w:val="22"/>
          <w:szCs w:val="22"/>
        </w:rPr>
        <w:t xml:space="preserve">Every vendor that accesses, processes, stores, or transmits personal data must execute a Data Processing Agreement that defines the scope and purpose of processing, categories of data subjects and data types, technical and organizational security measures, subprocessor management requirements, cross-border data transfer mechanisms, data subject rights assistance obligations, data breach notification procedures and timelines, and data return and deletion obligations upon termination.</w:t>
      </w:r>
    </w:p>
    <w:p>
      <w:pPr>
        <w:spacing w:before="60" w:after="60"/>
      </w:pPr>
    </w:p>
    <w:p>
      <w:pPr>
        <w:pStyle w:val="Heading3"/>
        <w:spacing w:before="200" w:after="120"/>
      </w:pPr>
      <w:r>
        <w:rPr>
          <w:rFonts w:ascii="Arial" w:cs="Arial" w:eastAsia="Arial" w:hAnsi="Arial"/>
          <w:b/>
          <w:bCs/>
          <w:color w:val="1B3A5C"/>
          <w:sz w:val="24"/>
          <w:szCs w:val="24"/>
        </w:rPr>
        <w:t xml:space="preserve">Cross-Border Data Transfer Management</w:t>
      </w:r>
    </w:p>
    <w:p>
      <w:pPr>
        <w:spacing w:before="80" w:after="80"/>
      </w:pPr>
      <w:r>
        <w:rPr>
          <w:rFonts w:ascii="Arial" w:cs="Arial" w:eastAsia="Arial" w:hAnsi="Arial"/>
          <w:sz w:val="22"/>
          <w:szCs w:val="22"/>
        </w:rPr>
        <w:t xml:space="preserve">When vendor relationships involve cross-border data transfers, the TPRM framework requires completion of a Transfer Impact Assessment that evaluates the legal framework in the destination country, supplementary measures needed to ensure adequate protection, and the proportionality of the transfer relative to the business purpose. Approved transfer mechanisms include EU-US Data Privacy Framework certification, Standard Contractual Clauses with supplementary measures, binding corporate rules for intra-group transfers, and adequacy decisions where available.</w:t>
      </w:r>
    </w:p>
    <w:p>
      <w:pPr>
        <w:spacing w:before="60" w:after="60"/>
      </w:pPr>
    </w:p>
    <w:p>
      <w:pPr>
        <w:pStyle w:val="Heading2"/>
        <w:spacing w:before="280" w:after="160"/>
      </w:pPr>
      <w:r>
        <w:rPr>
          <w:rFonts w:ascii="Arial" w:cs="Arial" w:eastAsia="Arial" w:hAnsi="Arial"/>
          <w:b/>
          <w:bCs/>
          <w:color w:val="2E75B6"/>
          <w:sz w:val="28"/>
          <w:szCs w:val="28"/>
        </w:rPr>
        <w:t xml:space="preserve">V.10.3 Industry-Specific Compliance Considerations</w:t>
      </w:r>
    </w:p>
    <w:p>
      <w:pPr>
        <w:spacing w:before="80" w:after="80"/>
      </w:pPr>
      <w:r>
        <w:rPr>
          <w:rFonts w:ascii="Arial" w:cs="Arial" w:eastAsia="Arial" w:hAnsi="Arial"/>
          <w:sz w:val="22"/>
          <w:szCs w:val="22"/>
        </w:rPr>
        <w:t xml:space="preserve">The TPRM framework includes tailored compliance modules for regulated industries:</w:t>
      </w:r>
    </w:p>
    <w:p>
      <w:pPr>
        <w:pStyle w:val="ListParagraph"/>
        <w:numPr>
          <w:ilvl w:val="0"/>
          <w:numId w:val="2"/>
        </w:numPr>
        <w:spacing w:before="40" w:after="40"/>
      </w:pPr>
      <w:r>
        <w:rPr>
          <w:rFonts w:ascii="Arial" w:cs="Arial" w:eastAsia="Arial" w:hAnsi="Arial"/>
          <w:b/>
          <w:bCs/>
          <w:sz w:val="22"/>
          <w:szCs w:val="22"/>
        </w:rPr>
        <w:t xml:space="preserve">Financial Services: </w:t>
      </w:r>
      <w:r>
        <w:rPr>
          <w:rFonts w:ascii="Arial" w:cs="Arial" w:eastAsia="Arial" w:hAnsi="Arial"/>
          <w:sz w:val="22"/>
          <w:szCs w:val="22"/>
        </w:rPr>
        <w:t xml:space="preserve">Integration with OCC, FFIEC, and state regulatory examination requirements; adherence to interagency guidance on third-party relationships; concentration risk reporting per DORA and related frameworks</w:t>
      </w:r>
    </w:p>
    <w:p>
      <w:pPr>
        <w:pStyle w:val="ListParagraph"/>
        <w:numPr>
          <w:ilvl w:val="0"/>
          <w:numId w:val="2"/>
        </w:numPr>
        <w:spacing w:before="40" w:after="40"/>
      </w:pPr>
      <w:r>
        <w:rPr>
          <w:rFonts w:ascii="Arial" w:cs="Arial" w:eastAsia="Arial" w:hAnsi="Arial"/>
          <w:b/>
          <w:bCs/>
          <w:sz w:val="22"/>
          <w:szCs w:val="22"/>
        </w:rPr>
        <w:t xml:space="preserve">Healthcare: </w:t>
      </w:r>
      <w:r>
        <w:rPr>
          <w:rFonts w:ascii="Arial" w:cs="Arial" w:eastAsia="Arial" w:hAnsi="Arial"/>
          <w:sz w:val="22"/>
          <w:szCs w:val="22"/>
        </w:rPr>
        <w:t xml:space="preserve">HIPAA Business Associate Agreement management; HHS breach notification coordination; state health privacy law compliance; FDA regulatory requirements for medical device software vendors</w:t>
      </w:r>
    </w:p>
    <w:p>
      <w:pPr>
        <w:pStyle w:val="ListParagraph"/>
        <w:numPr>
          <w:ilvl w:val="0"/>
          <w:numId w:val="2"/>
        </w:numPr>
        <w:spacing w:before="40" w:after="40"/>
      </w:pPr>
      <w:r>
        <w:rPr>
          <w:rFonts w:ascii="Arial" w:cs="Arial" w:eastAsia="Arial" w:hAnsi="Arial"/>
          <w:b/>
          <w:bCs/>
          <w:sz w:val="22"/>
          <w:szCs w:val="22"/>
        </w:rPr>
        <w:t xml:space="preserve">Government and Defense: </w:t>
      </w:r>
      <w:r>
        <w:rPr>
          <w:rFonts w:ascii="Arial" w:cs="Arial" w:eastAsia="Arial" w:hAnsi="Arial"/>
          <w:sz w:val="22"/>
          <w:szCs w:val="22"/>
        </w:rPr>
        <w:t xml:space="preserve">FedRAMP authorization management; CMMC compliance verification; ITAR and EAR export control compliance for technology vendors; CUI handling requirements</w:t>
      </w:r>
    </w:p>
    <w:p>
      <w:pPr>
        <w:pStyle w:val="ListParagraph"/>
        <w:numPr>
          <w:ilvl w:val="0"/>
          <w:numId w:val="2"/>
        </w:numPr>
        <w:spacing w:before="40" w:after="40"/>
      </w:pPr>
      <w:r>
        <w:rPr>
          <w:rFonts w:ascii="Arial" w:cs="Arial" w:eastAsia="Arial" w:hAnsi="Arial"/>
          <w:b/>
          <w:bCs/>
          <w:sz w:val="22"/>
          <w:szCs w:val="22"/>
        </w:rPr>
        <w:t xml:space="preserve">Critical Infrastructure: </w:t>
      </w:r>
      <w:r>
        <w:rPr>
          <w:rFonts w:ascii="Arial" w:cs="Arial" w:eastAsia="Arial" w:hAnsi="Arial"/>
          <w:sz w:val="22"/>
          <w:szCs w:val="22"/>
        </w:rPr>
        <w:t xml:space="preserve">NERC CIP compliance for energy sector vendors; TSA security directive compliance for transportation sector; CISA recommendations for critical infrastructure operators</w:t>
      </w:r>
    </w:p>
    <w:p>
      <w:r>
        <w:br w:type="page"/>
      </w:r>
    </w:p>
    <w:p>
      <w:pPr>
        <w:pStyle w:val="Heading1"/>
        <w:spacing w:before="360" w:after="200"/>
      </w:pPr>
      <w:r>
        <w:rPr>
          <w:rFonts w:ascii="Arial" w:cs="Arial" w:eastAsia="Arial" w:hAnsi="Arial"/>
          <w:b/>
          <w:bCs/>
          <w:color w:val="1B3A5C"/>
          <w:sz w:val="32"/>
          <w:szCs w:val="32"/>
        </w:rPr>
        <w:t xml:space="preserve">V.11 Exit Strategy and Vendor Retirement</w:t>
      </w:r>
    </w:p>
    <w:p>
      <w:pPr>
        <w:spacing w:before="60" w:after="60"/>
      </w:pPr>
    </w:p>
    <w:p>
      <w:pPr>
        <w:pStyle w:val="Heading2"/>
        <w:spacing w:before="280" w:after="160"/>
      </w:pPr>
      <w:r>
        <w:rPr>
          <w:rFonts w:ascii="Arial" w:cs="Arial" w:eastAsia="Arial" w:hAnsi="Arial"/>
          <w:b/>
          <w:bCs/>
          <w:color w:val="2E75B6"/>
          <w:sz w:val="28"/>
          <w:szCs w:val="28"/>
        </w:rPr>
        <w:t xml:space="preserve">V.11.1 Exit Planning Philosophy</w:t>
      </w:r>
    </w:p>
    <w:p>
      <w:pPr>
        <w:spacing w:before="80" w:after="80"/>
      </w:pPr>
      <w:r>
        <w:rPr>
          <w:rFonts w:ascii="Arial" w:cs="Arial" w:eastAsia="Arial" w:hAnsi="Arial"/>
          <w:sz w:val="22"/>
          <w:szCs w:val="22"/>
        </w:rPr>
        <w:t xml:space="preserve">Exit planning is not an afterthought triggered by vendor failure but a proactive discipline practiced continuously throughout the vendor lifecycle. Every Critical and High-tier vendor relationship must have a documented, tested exit plan that can be executed within defined timelines. The exit plan is a living document that is reviewed and updated during each periodic reassessment cycle.</w:t>
      </w:r>
    </w:p>
    <w:p>
      <w:pPr>
        <w:spacing w:before="80" w:after="80"/>
      </w:pPr>
      <w:r>
        <w:rPr>
          <w:rFonts w:ascii="Arial" w:cs="Arial" w:eastAsia="Arial" w:hAnsi="Arial"/>
          <w:sz w:val="22"/>
          <w:szCs w:val="22"/>
        </w:rPr>
        <w:t xml:space="preserve">The principle underlying exit planning is simple: no vendor relationship should become so deeply entrenched that the organization cannot transition away within a reasonable timeframe if business, risk, or regulatory circumstances require it.</w:t>
      </w:r>
    </w:p>
    <w:p>
      <w:pPr>
        <w:spacing w:before="60" w:after="60"/>
      </w:pPr>
    </w:p>
    <w:p>
      <w:pPr>
        <w:pStyle w:val="Heading2"/>
        <w:spacing w:before="280" w:after="160"/>
      </w:pPr>
      <w:r>
        <w:rPr>
          <w:rFonts w:ascii="Arial" w:cs="Arial" w:eastAsia="Arial" w:hAnsi="Arial"/>
          <w:b/>
          <w:bCs/>
          <w:color w:val="2E75B6"/>
          <w:sz w:val="28"/>
          <w:szCs w:val="28"/>
        </w:rPr>
        <w:t xml:space="preserve">V.11.2 Exit Plan Requirements</w:t>
      </w:r>
    </w:p>
    <w:p>
      <w:pPr>
        <w:spacing w:before="80" w:after="80"/>
      </w:pPr>
      <w:r>
        <w:rPr>
          <w:rFonts w:ascii="Arial" w:cs="Arial" w:eastAsia="Arial" w:hAnsi="Arial"/>
          <w:sz w:val="22"/>
          <w:szCs w:val="22"/>
        </w:rPr>
        <w:t xml:space="preserve">Exit plans must address the following dimensions for each Critical and High-tier vendor: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rPr>
          <w:tblHeader/>
        </w:trPr>
        <w:tc>
          <w:tcPr>
            <w:tcW w:type="dxa" w:w="2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Dimension</w:t>
            </w:r>
          </w:p>
        </w:tc>
        <w:tc>
          <w:tcPr>
            <w:tcW w:type="dxa" w:w="51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Requirements</w:t>
            </w:r>
          </w:p>
        </w:tc>
        <w:tc>
          <w:tcPr>
            <w:tcW w:type="dxa" w:w="2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 Party</w:t>
            </w:r>
          </w:p>
        </w:tc>
      </w:tr>
      <w:tr>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Alternative Vendor Identification</w:t>
            </w:r>
          </w:p>
        </w:tc>
        <w:tc>
          <w:tcPr>
            <w:tcW w:type="dxa" w:w="5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Pre-qualified list of at least two alternative vendors capable of providing equivalent functionality; initial assessment completed; preliminary architecture compatibility verified</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Vendor Management + Enterprise Architecture</w:t>
            </w:r>
          </w:p>
        </w:tc>
      </w:tr>
      <w:tr>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Data Migration Strategy</w:t>
            </w:r>
          </w:p>
        </w:tc>
        <w:tc>
          <w:tcPr>
            <w:tcW w:type="dxa" w:w="51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Documented data extraction procedures; data format and portability analysis; migration scripts maintained and periodically tested; data volume and transfer timeline estimates</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Data Engineering + Application Teams</w:t>
            </w:r>
          </w:p>
        </w:tc>
      </w:tr>
      <w:tr>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Integration Decoupling Plan</w:t>
            </w:r>
          </w:p>
        </w:tc>
        <w:tc>
          <w:tcPr>
            <w:tcW w:type="dxa" w:w="5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Inventory of all integration points (APIs, data feeds, SSO, network connections); decoupling sequence and dependency mapping; rollback procedures</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Integration Architecture + Platform Engineering</w:t>
            </w:r>
          </w:p>
        </w:tc>
      </w:tr>
      <w:tr>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Knowledge Transfer Protocol</w:t>
            </w:r>
          </w:p>
        </w:tc>
        <w:tc>
          <w:tcPr>
            <w:tcW w:type="dxa" w:w="51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Documentation of vendor-dependent configurations, customizations, and operational procedures; identification of internal staff with vendor-specific expertise</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Operations + Knowledge Management</w:t>
            </w:r>
          </w:p>
        </w:tc>
      </w:tr>
      <w:tr>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Communication Plan</w:t>
            </w:r>
          </w:p>
        </w:tc>
        <w:tc>
          <w:tcPr>
            <w:tcW w:type="dxa" w:w="5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Stakeholder notification templates; customer communication strategy (if applicable); regulatory notification requirements; internal change management activities</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Communications + Legal + Compliance</w:t>
            </w:r>
          </w:p>
        </w:tc>
      </w:tr>
      <w:tr>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Timeline and Resource Estimates</w:t>
            </w:r>
          </w:p>
        </w:tc>
        <w:tc>
          <w:tcPr>
            <w:tcW w:type="dxa" w:w="51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Phased transition timeline with milestones; resource requirements (staff, budget, infrastructure); risk mitigation measures for transition period</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Program Management + Finance</w:t>
            </w:r>
          </w:p>
        </w:tc>
      </w:tr>
      <w:tr>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Contractual Provisions</w:t>
            </w:r>
          </w:p>
        </w:tc>
        <w:tc>
          <w:tcPr>
            <w:tcW w:type="dxa" w:w="5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Transition assistance terms; data return and destruction procedures; post-termination support period; escrow activation procedures (if applicable)</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Legal + Vendor Management</w:t>
            </w:r>
          </w:p>
        </w:tc>
      </w:tr>
    </w:tbl>
    <w:p>
      <w:pPr>
        <w:spacing w:before="60" w:after="60"/>
      </w:pPr>
    </w:p>
    <w:p>
      <w:pPr>
        <w:pStyle w:val="Heading2"/>
        <w:spacing w:before="280" w:after="160"/>
      </w:pPr>
      <w:r>
        <w:rPr>
          <w:rFonts w:ascii="Arial" w:cs="Arial" w:eastAsia="Arial" w:hAnsi="Arial"/>
          <w:b/>
          <w:bCs/>
          <w:color w:val="2E75B6"/>
          <w:sz w:val="28"/>
          <w:szCs w:val="28"/>
        </w:rPr>
        <w:t xml:space="preserve">V.11.3 Vendor Retirement Lifecycle</w:t>
      </w:r>
    </w:p>
    <w:p>
      <w:pPr>
        <w:spacing w:before="80" w:after="80"/>
      </w:pPr>
      <w:r>
        <w:rPr>
          <w:rFonts w:ascii="Arial" w:cs="Arial" w:eastAsia="Arial" w:hAnsi="Arial"/>
          <w:sz w:val="22"/>
          <w:szCs w:val="22"/>
        </w:rPr>
        <w:t xml:space="preserve">When the decision is made to retire a vendor relationship, the following structured retirement lifecycle is executed: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1800"/>
        <w:gridCol w:w="2200"/>
      </w:tblGrid>
      <w:tr>
        <w:trPr>
          <w:tblHeader/>
        </w:trPr>
        <w:tc>
          <w:tcPr>
            <w:tcW w:type="dxa" w:w="1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37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Activities</w:t>
            </w:r>
          </w:p>
        </w:tc>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Duration</w:t>
            </w:r>
          </w:p>
        </w:tc>
        <w:tc>
          <w:tcPr>
            <w:tcW w:type="dxa" w:w="2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Deliverables</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1. Decision and Planning</w:t>
            </w:r>
          </w:p>
        </w:tc>
        <w:tc>
          <w:tcPr>
            <w:tcW w:type="dxa" w:w="3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Formal retirement decision documented; exit plan activated and updated; alternative vendor selected and contracted; transition team assembled; stakeholders notified</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2-4 weeks</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Retirement decision memo; updated exit plan; transition team charter</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2. Parallel Operation</w:t>
            </w:r>
          </w:p>
        </w:tc>
        <w:tc>
          <w:tcPr>
            <w:tcW w:type="dxa" w:w="3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Alternative vendor deployed in parallel; data migration initiated; integration points redirected; user acceptance testing conducted; performance validation against SLAs</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4-12 weeks (varies by complexity)</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Migration status reports; UAT results; performance validation</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3. Cutover Execution</w:t>
            </w:r>
          </w:p>
        </w:tc>
        <w:tc>
          <w:tcPr>
            <w:tcW w:type="dxa" w:w="3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Traffic redirected to new provider; retiring vendor access reduced to read-only; monitoring intensified; rollback readiness confirmed; final data reconciliation</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1-2 weeks</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Cutover runbook; reconciliation report; rollback confirmation</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4. Post-Cutover Validation</w:t>
            </w:r>
          </w:p>
        </w:tc>
        <w:tc>
          <w:tcPr>
            <w:tcW w:type="dxa" w:w="3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Full functional validation on new provider; performance monitoring; user feedback collection; issue resolution; stability confirmation period</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2-4 weeks</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Validation report; issue log; stability confirmation</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5. Decommissioning</w:t>
            </w:r>
          </w:p>
        </w:tc>
        <w:tc>
          <w:tcPr>
            <w:tcW w:type="dxa" w:w="37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Retiring vendor access revoked; data return verified; data destruction certification obtained; network connections terminated; SSO integration removed; license deactivation</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1-2 weeks</w:t>
            </w:r>
          </w:p>
        </w:tc>
        <w:tc>
          <w:tcPr>
            <w:tcW w:type="dxa" w:w="22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Access revocation confirmation; destruction certificate; decommission checklist</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6. Closure</w:t>
            </w:r>
          </w:p>
        </w:tc>
        <w:tc>
          <w:tcPr>
            <w:tcW w:type="dxa" w:w="3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Contract formally terminated; financial reconciliation completed; final vendor payment processed; lessons learned documented; TPRM records archived; vendor record marked as retired</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1-2 weeks</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Termination letter; financial close; lessons learned report</w:t>
            </w:r>
          </w:p>
        </w:tc>
      </w:tr>
    </w:tbl>
    <w:p>
      <w:pPr>
        <w:spacing w:before="60" w:after="60"/>
      </w:pPr>
    </w:p>
    <w:p>
      <w:pPr>
        <w:pStyle w:val="Heading2"/>
        <w:spacing w:before="280" w:after="160"/>
      </w:pPr>
      <w:r>
        <w:rPr>
          <w:rFonts w:ascii="Arial" w:cs="Arial" w:eastAsia="Arial" w:hAnsi="Arial"/>
          <w:b/>
          <w:bCs/>
          <w:color w:val="2E75B6"/>
          <w:sz w:val="28"/>
          <w:szCs w:val="28"/>
        </w:rPr>
        <w:t xml:space="preserve">V.11.4 Emergency Exit Procedures</w:t>
      </w:r>
    </w:p>
    <w:p>
      <w:pPr>
        <w:spacing w:before="80" w:after="80"/>
      </w:pPr>
      <w:r>
        <w:rPr>
          <w:rFonts w:ascii="Arial" w:cs="Arial" w:eastAsia="Arial" w:hAnsi="Arial"/>
          <w:sz w:val="22"/>
          <w:szCs w:val="22"/>
        </w:rPr>
        <w:t xml:space="preserve">In scenarios requiring immediate vendor disengagement, such as a confirmed data breach with ongoing exposure, regulatory prohibition, or vendor insolvency, the standard retirement lifecycle is compressed through an emergency exit protocol. Emergency exits prioritize data protection and business continuity over orderly transition. Key emergency procedures include immediate access revocation for the vendor from all enterprise systems, activation of business continuity plans for affected services, engagement of legal counsel for contract-related actions, notification to regulatory authorities as required, deployment of interim solutions to maintain essential business operations, and accelerated alternative vendor procurement through emergency sourcing procedures.</w:t>
      </w:r>
    </w:p>
    <w:p>
      <w:r>
        <w:br w:type="page"/>
      </w:r>
    </w:p>
    <w:p>
      <w:pPr>
        <w:pStyle w:val="Heading1"/>
        <w:spacing w:before="360" w:after="200"/>
      </w:pPr>
      <w:r>
        <w:rPr>
          <w:rFonts w:ascii="Arial" w:cs="Arial" w:eastAsia="Arial" w:hAnsi="Arial"/>
          <w:b/>
          <w:bCs/>
          <w:color w:val="1B3A5C"/>
          <w:sz w:val="32"/>
          <w:szCs w:val="32"/>
        </w:rPr>
        <w:t xml:space="preserve">V.12 TPRM Metrics, Maturity Model, and Continuous Improvement</w:t>
      </w:r>
    </w:p>
    <w:p>
      <w:pPr>
        <w:spacing w:before="60" w:after="60"/>
      </w:pPr>
    </w:p>
    <w:p>
      <w:pPr>
        <w:pStyle w:val="Heading2"/>
        <w:spacing w:before="280" w:after="160"/>
      </w:pPr>
      <w:r>
        <w:rPr>
          <w:rFonts w:ascii="Arial" w:cs="Arial" w:eastAsia="Arial" w:hAnsi="Arial"/>
          <w:b/>
          <w:bCs/>
          <w:color w:val="2E75B6"/>
          <w:sz w:val="28"/>
          <w:szCs w:val="28"/>
        </w:rPr>
        <w:t xml:space="preserve">V.12.1 Key Performance Indicators</w:t>
      </w:r>
    </w:p>
    <w:p>
      <w:pPr>
        <w:spacing w:before="80" w:after="80"/>
      </w:pPr>
      <w:r>
        <w:rPr>
          <w:rFonts w:ascii="Arial" w:cs="Arial" w:eastAsia="Arial" w:hAnsi="Arial"/>
          <w:sz w:val="22"/>
          <w:szCs w:val="22"/>
        </w:rPr>
        <w:t xml:space="preserve">The TPRM program is measured against a comprehensive set of KPIs organized into four measurement categories:</w:t>
      </w:r>
    </w:p>
    <w:p>
      <w:pPr>
        <w:spacing w:before="60" w:after="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1800"/>
        <w:gridCol w:w="2000"/>
      </w:tblGrid>
      <w:tr>
        <w:trPr>
          <w:tblHeader/>
        </w:trPr>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c>
          <w:tcPr>
            <w:tcW w:type="dxa" w:w="31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KPI</w:t>
            </w:r>
          </w:p>
        </w:tc>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w:t>
            </w:r>
          </w:p>
        </w:tc>
        <w:tc>
          <w:tcPr>
            <w:tcW w:type="dxa" w:w="2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Measurement Frequency</w:t>
            </w:r>
          </w:p>
        </w:tc>
      </w:tr>
      <w:tr>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Program Coverage</w:t>
            </w:r>
          </w:p>
        </w:tc>
        <w:tc>
          <w:tcPr>
            <w:tcW w:type="dxa" w:w="3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Percentage of active vendors with completed risk assessment</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100%</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Monthly</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Program Coverage</w:t>
            </w:r>
          </w:p>
        </w:tc>
        <w:tc>
          <w:tcPr>
            <w:tcW w:type="dxa" w:w="31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Percentage of Critical/High vendors with current assessment (&lt;12 months)</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100%</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Monthly</w:t>
            </w:r>
          </w:p>
        </w:tc>
      </w:tr>
      <w:tr>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Program Coverage</w:t>
            </w:r>
          </w:p>
        </w:tc>
        <w:tc>
          <w:tcPr>
            <w:tcW w:type="dxa" w:w="3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Percentage of vendors with assigned risk tier</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100%</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Monthly</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Assessment Efficiency</w:t>
            </w:r>
          </w:p>
        </w:tc>
        <w:tc>
          <w:tcPr>
            <w:tcW w:type="dxa" w:w="31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Average time from intake request to risk decision (Critical tier)</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30 business days</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Monthly</w:t>
            </w:r>
          </w:p>
        </w:tc>
      </w:tr>
      <w:tr>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Assessment Efficiency</w:t>
            </w:r>
          </w:p>
        </w:tc>
        <w:tc>
          <w:tcPr>
            <w:tcW w:type="dxa" w:w="3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Average time from intake request to risk decision (Low tier)</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5 business days</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Monthly</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Assessment Efficiency</w:t>
            </w:r>
          </w:p>
        </w:tc>
        <w:tc>
          <w:tcPr>
            <w:tcW w:type="dxa" w:w="31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Percentage of assessments leveraging AI automation</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&gt;80%</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Quarterly</w:t>
            </w:r>
          </w:p>
        </w:tc>
      </w:tr>
      <w:tr>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Risk Management</w:t>
            </w:r>
          </w:p>
        </w:tc>
        <w:tc>
          <w:tcPr>
            <w:tcW w:type="dxa" w:w="3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Percentage of identified risks with active mitigation plans</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&gt;95%</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Monthly</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Risk Management</w:t>
            </w:r>
          </w:p>
        </w:tc>
        <w:tc>
          <w:tcPr>
            <w:tcW w:type="dxa" w:w="31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Average time to remediate Critical-severity findings</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&lt;30 days</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Monthly</w:t>
            </w:r>
          </w:p>
        </w:tc>
      </w:tr>
      <w:tr>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Risk Management</w:t>
            </w:r>
          </w:p>
        </w:tc>
        <w:tc>
          <w:tcPr>
            <w:tcW w:type="dxa" w:w="3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Number of vendor-related security incidents</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Decreasing trend</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Quarterly</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Risk Management</w:t>
            </w:r>
          </w:p>
        </w:tc>
        <w:tc>
          <w:tcPr>
            <w:tcW w:type="dxa" w:w="31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Percentage of Critical/High vendors with documented exit plans</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100%</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Quarterly</w:t>
            </w:r>
          </w:p>
        </w:tc>
      </w:tr>
      <w:tr>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Monitoring Effectiveness</w:t>
            </w:r>
          </w:p>
        </w:tc>
        <w:tc>
          <w:tcPr>
            <w:tcW w:type="dxa" w:w="3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Percentage of monitoring alerts actioned within SLA</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&gt;95%</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Monthly</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Monitoring Effectiveness</w:t>
            </w:r>
          </w:p>
        </w:tc>
        <w:tc>
          <w:tcPr>
            <w:tcW w:type="dxa" w:w="31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False positive rate for AI-generated alerts</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&lt;15%</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Quarterly</w:t>
            </w:r>
          </w:p>
        </w:tc>
      </w:tr>
      <w:tr>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Monitoring Effectiveness</w:t>
            </w:r>
          </w:p>
        </w:tc>
        <w:tc>
          <w:tcPr>
            <w:tcW w:type="dxa" w:w="3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Mean time to detect material vendor risk change</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&lt;48 hours</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Monthly</w:t>
            </w:r>
          </w:p>
        </w:tc>
      </w:tr>
    </w:tbl>
    <w:p>
      <w:pPr>
        <w:spacing w:before="60" w:after="60"/>
      </w:pPr>
    </w:p>
    <w:p>
      <w:pPr>
        <w:pStyle w:val="Heading2"/>
        <w:spacing w:before="280" w:after="160"/>
      </w:pPr>
      <w:r>
        <w:rPr>
          <w:rFonts w:ascii="Arial" w:cs="Arial" w:eastAsia="Arial" w:hAnsi="Arial"/>
          <w:b/>
          <w:bCs/>
          <w:color w:val="2E75B6"/>
          <w:sz w:val="28"/>
          <w:szCs w:val="28"/>
        </w:rPr>
        <w:t xml:space="preserve">V.12.2 TPRM Maturity Model</w:t>
      </w:r>
    </w:p>
    <w:p>
      <w:pPr>
        <w:spacing w:before="80" w:after="80"/>
      </w:pPr>
      <w:r>
        <w:rPr>
          <w:rFonts w:ascii="Arial" w:cs="Arial" w:eastAsia="Arial" w:hAnsi="Arial"/>
          <w:sz w:val="22"/>
          <w:szCs w:val="22"/>
        </w:rPr>
        <w:t xml:space="preserve">The TPRM maturity model provides a structured progression pathway from ad-hoc vendor management to fully optimized, AI-driven third-party risk governance: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rPr>
          <w:tblHeader/>
        </w:trPr>
        <w:tc>
          <w:tcPr>
            <w:tcW w:type="dxa" w:w="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Level</w:t>
            </w:r>
          </w:p>
        </w:tc>
        <w:tc>
          <w:tcPr>
            <w:tcW w:type="dxa" w:w="14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71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Characteristics</w:t>
            </w:r>
          </w:p>
        </w:tc>
      </w:tr>
      <w:tr>
        <w:tc>
          <w:tcPr>
            <w:tcW w:type="dxa" w:w="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Initial</w:t>
            </w:r>
          </w:p>
        </w:tc>
        <w:tc>
          <w:tcPr>
            <w:tcW w:type="dxa" w:w="7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Vendor management is decentralized and reactive; no standardized assessment methodology; limited visibility into vendor portfolio; risk decisions made ad-hoc by individual business units; no formal monitoring program</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Developing</w:t>
            </w:r>
          </w:p>
        </w:tc>
        <w:tc>
          <w:tcPr>
            <w:tcW w:type="dxa" w:w="71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Centralized vendor inventory established; standardized risk tier classification in place; basic security questionnaire deployed; periodic assessment cycle defined; foundational policies documented; manual monitoring processes</w:t>
            </w:r>
          </w:p>
        </w:tc>
      </w:tr>
      <w:tr>
        <w:tc>
          <w:tcPr>
            <w:tcW w:type="dxa" w:w="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Defined</w:t>
            </w:r>
          </w:p>
        </w:tc>
        <w:tc>
          <w:tcPr>
            <w:tcW w:type="dxa" w:w="7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Comprehensive assessment methodology across all risk domains; automated intake workflow; quantitative risk scoring model operational; continuous external monitoring deployed; contract management integrated with TPRM; regulatory compliance mapping complete</w:t>
            </w:r>
          </w:p>
        </w:tc>
      </w:tr>
      <w:tr>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1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Managed</w:t>
            </w:r>
          </w:p>
        </w:tc>
        <w:tc>
          <w:tcPr>
            <w:tcW w:type="dxa" w:w="71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20"/>
                <w:szCs w:val="20"/>
              </w:rPr>
              <w:t xml:space="preserve">AI-enhanced assessment and monitoring fully operational; predictive risk analytics informing decisions; fourth-party risk visibility achieved; concentration risk actively managed; performance management framework driving vendor accountability; exit plans maintained and tested</w:t>
            </w:r>
          </w:p>
        </w:tc>
      </w:tr>
      <w:tr>
        <w:tc>
          <w:tcPr>
            <w:tcW w:type="dxa" w:w="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Optimized</w:t>
            </w:r>
          </w:p>
        </w:tc>
        <w:tc>
          <w:tcPr>
            <w:tcW w:type="dxa" w:w="71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sz w:val="20"/>
                <w:szCs w:val="20"/>
              </w:rPr>
              <w:t xml:space="preserve">Fully autonomous AI-driven risk detection with human oversight for strategic decisions; self-healing remediation workflows; real-time ecosystem risk modeling; zero-trust vendor architecture; continuous compliance validation; industry-leading TPRM practices benchmarked and shared</w:t>
            </w:r>
          </w:p>
        </w:tc>
      </w:tr>
    </w:tbl>
    <w:p>
      <w:pPr>
        <w:spacing w:before="60" w:after="60"/>
      </w:pPr>
    </w:p>
    <w:p>
      <w:pPr>
        <w:pStyle w:val="Heading2"/>
        <w:spacing w:before="280" w:after="160"/>
      </w:pPr>
      <w:r>
        <w:rPr>
          <w:rFonts w:ascii="Arial" w:cs="Arial" w:eastAsia="Arial" w:hAnsi="Arial"/>
          <w:b/>
          <w:bCs/>
          <w:color w:val="2E75B6"/>
          <w:sz w:val="28"/>
          <w:szCs w:val="28"/>
        </w:rPr>
        <w:t xml:space="preserve">V.12.3 Continuous Improvement Mechanisms</w:t>
      </w:r>
    </w:p>
    <w:p>
      <w:pPr>
        <w:spacing w:before="80" w:after="80"/>
      </w:pPr>
      <w:r>
        <w:rPr>
          <w:rFonts w:ascii="Arial" w:cs="Arial" w:eastAsia="Arial" w:hAnsi="Arial"/>
          <w:sz w:val="22"/>
          <w:szCs w:val="22"/>
        </w:rPr>
        <w:t xml:space="preserve">The TPRM program employs several structured mechanisms to drive continuous improvement:</w:t>
      </w:r>
    </w:p>
    <w:p>
      <w:pPr>
        <w:pStyle w:val="ListParagraph"/>
        <w:numPr>
          <w:ilvl w:val="0"/>
          <w:numId w:val="6"/>
        </w:numPr>
        <w:spacing w:before="40" w:after="40"/>
      </w:pPr>
      <w:r>
        <w:rPr>
          <w:rFonts w:ascii="Arial" w:cs="Arial" w:eastAsia="Arial" w:hAnsi="Arial"/>
          <w:b/>
          <w:bCs/>
          <w:sz w:val="22"/>
          <w:szCs w:val="22"/>
        </w:rPr>
        <w:t xml:space="preserve">Post-Incident Reviews: </w:t>
      </w:r>
      <w:r>
        <w:rPr>
          <w:rFonts w:ascii="Arial" w:cs="Arial" w:eastAsia="Arial" w:hAnsi="Arial"/>
          <w:sz w:val="22"/>
          <w:szCs w:val="22"/>
        </w:rPr>
        <w:t xml:space="preserve">Every vendor-related incident triggers a root cause analysis that evaluates whether existing TPRM controls should have detected or prevented the issue. Findings are incorporated into assessment methodology and monitoring rule updates.</w:t>
      </w:r>
    </w:p>
    <w:p>
      <w:pPr>
        <w:pStyle w:val="ListParagraph"/>
        <w:numPr>
          <w:ilvl w:val="0"/>
          <w:numId w:val="6"/>
        </w:numPr>
        <w:spacing w:before="40" w:after="40"/>
      </w:pPr>
      <w:r>
        <w:rPr>
          <w:rFonts w:ascii="Arial" w:cs="Arial" w:eastAsia="Arial" w:hAnsi="Arial"/>
          <w:b/>
          <w:bCs/>
          <w:sz w:val="22"/>
          <w:szCs w:val="22"/>
        </w:rPr>
        <w:t xml:space="preserve">Regulatory Change Tracking: </w:t>
      </w:r>
      <w:r>
        <w:rPr>
          <w:rFonts w:ascii="Arial" w:cs="Arial" w:eastAsia="Arial" w:hAnsi="Arial"/>
          <w:sz w:val="22"/>
          <w:szCs w:val="22"/>
        </w:rPr>
        <w:t xml:space="preserve">A dedicated regulatory intelligence function monitors emerging regulations, enforcement actions, and industry guidance to ensure the TPRM framework stays ahead of compliance requirements.</w:t>
      </w:r>
    </w:p>
    <w:p>
      <w:pPr>
        <w:pStyle w:val="ListParagraph"/>
        <w:numPr>
          <w:ilvl w:val="0"/>
          <w:numId w:val="6"/>
        </w:numPr>
        <w:spacing w:before="40" w:after="40"/>
      </w:pPr>
      <w:r>
        <w:rPr>
          <w:rFonts w:ascii="Arial" w:cs="Arial" w:eastAsia="Arial" w:hAnsi="Arial"/>
          <w:b/>
          <w:bCs/>
          <w:sz w:val="22"/>
          <w:szCs w:val="22"/>
        </w:rPr>
        <w:t xml:space="preserve">Technology Platform Enhancement: </w:t>
      </w:r>
      <w:r>
        <w:rPr>
          <w:rFonts w:ascii="Arial" w:cs="Arial" w:eastAsia="Arial" w:hAnsi="Arial"/>
          <w:sz w:val="22"/>
          <w:szCs w:val="22"/>
        </w:rPr>
        <w:t xml:space="preserve">Quarterly roadmap reviews align TPRM platform capabilities with evolving threat landscape and organizational needs, including AI model retraining, new integration development, and workflow optimization.</w:t>
      </w:r>
    </w:p>
    <w:p>
      <w:pPr>
        <w:pStyle w:val="ListParagraph"/>
        <w:numPr>
          <w:ilvl w:val="0"/>
          <w:numId w:val="6"/>
        </w:numPr>
        <w:spacing w:before="40" w:after="40"/>
      </w:pPr>
      <w:r>
        <w:rPr>
          <w:rFonts w:ascii="Arial" w:cs="Arial" w:eastAsia="Arial" w:hAnsi="Arial"/>
          <w:b/>
          <w:bCs/>
          <w:sz w:val="22"/>
          <w:szCs w:val="22"/>
        </w:rPr>
        <w:t xml:space="preserve">Stakeholder Feedback Integration: </w:t>
      </w:r>
      <w:r>
        <w:rPr>
          <w:rFonts w:ascii="Arial" w:cs="Arial" w:eastAsia="Arial" w:hAnsi="Arial"/>
          <w:sz w:val="22"/>
          <w:szCs w:val="22"/>
        </w:rPr>
        <w:t xml:space="preserve">Annual surveys of business owners, vendor partners, and TPRM team members capture friction points, improvement suggestions, and effectiveness perceptions that inform process refinements.</w:t>
      </w:r>
    </w:p>
    <w:p>
      <w:pPr>
        <w:pStyle w:val="ListParagraph"/>
        <w:numPr>
          <w:ilvl w:val="0"/>
          <w:numId w:val="6"/>
        </w:numPr>
        <w:spacing w:before="40" w:after="40"/>
      </w:pPr>
      <w:r>
        <w:rPr>
          <w:rFonts w:ascii="Arial" w:cs="Arial" w:eastAsia="Arial" w:hAnsi="Arial"/>
          <w:b/>
          <w:bCs/>
          <w:sz w:val="22"/>
          <w:szCs w:val="22"/>
        </w:rPr>
        <w:t xml:space="preserve">Industry Benchmarking: </w:t>
      </w:r>
      <w:r>
        <w:rPr>
          <w:rFonts w:ascii="Arial" w:cs="Arial" w:eastAsia="Arial" w:hAnsi="Arial"/>
          <w:sz w:val="22"/>
          <w:szCs w:val="22"/>
        </w:rPr>
        <w:t xml:space="preserve">Annual participation in TPRM benchmarking studies and industry forums provides external perspective on program maturity and identifies leading practices for adoption.</w:t>
      </w:r>
    </w:p>
    <w:p>
      <w:pPr>
        <w:pStyle w:val="ListParagraph"/>
        <w:numPr>
          <w:ilvl w:val="0"/>
          <w:numId w:val="6"/>
        </w:numPr>
        <w:spacing w:before="40" w:after="40"/>
      </w:pPr>
      <w:r>
        <w:rPr>
          <w:rFonts w:ascii="Arial" w:cs="Arial" w:eastAsia="Arial" w:hAnsi="Arial"/>
          <w:b/>
          <w:bCs/>
          <w:sz w:val="22"/>
          <w:szCs w:val="22"/>
        </w:rPr>
        <w:t xml:space="preserve">AI Model Governance: </w:t>
      </w:r>
      <w:r>
        <w:rPr>
          <w:rFonts w:ascii="Arial" w:cs="Arial" w:eastAsia="Arial" w:hAnsi="Arial"/>
          <w:sz w:val="22"/>
          <w:szCs w:val="22"/>
        </w:rPr>
        <w:t xml:space="preserve">Regular validation of AI risk scoring models against actual outcomes to ensure model accuracy, recalibrate weighting factors, and address any identified bias patterns.</w:t>
      </w:r>
    </w:p>
    <w:p>
      <w:pPr>
        <w:spacing w:before="60" w:after="60"/>
      </w:pPr>
    </w:p>
    <w:p>
      <w:pPr>
        <w:pStyle w:val="Heading2"/>
        <w:spacing w:before="280" w:after="160"/>
      </w:pPr>
      <w:r>
        <w:rPr>
          <w:rFonts w:ascii="Arial" w:cs="Arial" w:eastAsia="Arial" w:hAnsi="Arial"/>
          <w:b/>
          <w:bCs/>
          <w:color w:val="2E75B6"/>
          <w:sz w:val="28"/>
          <w:szCs w:val="28"/>
        </w:rPr>
        <w:t xml:space="preserve">V.12.4 Framework Governance and Update Cycle</w:t>
      </w:r>
    </w:p>
    <w:p>
      <w:pPr>
        <w:spacing w:before="80" w:after="80"/>
      </w:pPr>
      <w:r>
        <w:rPr>
          <w:rFonts w:ascii="Arial" w:cs="Arial" w:eastAsia="Arial" w:hAnsi="Arial"/>
          <w:sz w:val="22"/>
          <w:szCs w:val="22"/>
        </w:rPr>
        <w:t xml:space="preserve">The TPRM framework itself is subject to governance controls that ensure its continued relevance and effectiveness. The Enterprise TPRM Policy is reviewed and approved annually by the Executive Risk Committee. Assessment methodologies and scoring models are reviewed quarterly by the TPRM Steering Council. Operational procedures and templates are updated continuously by the Operational TPRM Team as process improvements are identified. The complete framework undergoes a comprehensive refresh every two years, incorporating lessons learned, regulatory changes, technology advancements, and maturity progression insights.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Enterprise Software Governance  |  Section 4: Third-Party Risk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2026-03-02T22:37:55.086Z</dcterms:created>
  <dcterms:modified xsi:type="dcterms:W3CDTF">2026-03-02T22:37:55.087Z</dcterms:modified>
</cp:coreProperties>
</file>

<file path=docProps/custom.xml><?xml version="1.0" encoding="utf-8"?>
<Properties xmlns="http://schemas.openxmlformats.org/officeDocument/2006/custom-properties" xmlns:vt="http://schemas.openxmlformats.org/officeDocument/2006/docPropsVTypes"/>
</file>