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B3A5C"/>
          <w:sz w:val="32"/>
          <w:szCs w:val="32"/>
        </w:rPr>
        <w:t xml:space="preserve">Part XII — Dependencies, Continuous Improvement, and Consolidated References</w:t>
      </w:r>
    </w:p>
    <w:p>
      <w:pPr>
        <w:pBdr>
          <w:bottom w:val="single" w:color="2E75B6" w:sz="6" w:space="1"/>
        </w:pBdr>
        <w:spacing w:before="200" w:after="200"/>
      </w:pPr>
    </w:p>
    <w:p>
      <w:pPr>
        <w:pStyle w:val="Heading2"/>
        <w:spacing w:before="280" w:after="160"/>
      </w:pPr>
      <w:r>
        <w:rPr>
          <w:rFonts w:ascii="Arial" w:cs="Arial" w:eastAsia="Arial" w:hAnsi="Arial"/>
          <w:b/>
          <w:bCs/>
          <w:color w:val="2E75B6"/>
          <w:sz w:val="28"/>
          <w:szCs w:val="28"/>
        </w:rPr>
        <w:t xml:space="preserve">XII.1 — Executive Overview and Section Purpose</w:t>
      </w:r>
    </w:p>
    <w:p>
      <w:pPr>
        <w:spacing w:before="80" w:after="80"/>
        <w:jc w:val="left"/>
      </w:pPr>
      <w:r>
        <w:rPr>
          <w:rFonts w:ascii="Arial" w:cs="Arial" w:eastAsia="Arial" w:hAnsi="Arial"/>
          <w:b w:val="false"/>
          <w:bCs w:val="false"/>
          <w:i w:val="false"/>
          <w:iCs w:val="false"/>
          <w:color w:val="333333"/>
          <w:sz w:val="22"/>
          <w:szCs w:val="22"/>
        </w:rPr>
        <w:t xml:space="preserve">This closing part of the Enterprise Software Governance Playbook addresses the critical meta-governance layer that ensures the entire framework remains coherent, current, and continuously improving. While Parts I through XI define what the organization governs and how, Part XII defines the structural dependencies that bind these parts together, the improvement mechanisms that keep them evolving, and the consolidated reference library that provides evidentiary and intellectual grounding for every framework element.</w:t>
      </w:r>
    </w:p>
    <w:p>
      <w:pPr>
        <w:spacing w:before="80" w:after="80"/>
        <w:jc w:val="left"/>
      </w:pPr>
      <w:r>
        <w:rPr>
          <w:rFonts w:ascii="Arial" w:cs="Arial" w:eastAsia="Arial" w:hAnsi="Arial"/>
          <w:b w:val="false"/>
          <w:bCs w:val="false"/>
          <w:i w:val="false"/>
          <w:iCs w:val="false"/>
          <w:color w:val="333333"/>
          <w:sz w:val="22"/>
          <w:szCs w:val="22"/>
        </w:rPr>
        <w:t xml:space="preserve">Enterprise governance frameworks fail most frequently not because of design deficiencies but because of unmanaged dependencies between framework components, absence of systematic improvement cycles, and erosion of alignment with evolving standards and regulations. Part XII directly addresses these failure modes through structured dependency mapping, continuous improvement architecture, and comprehensive reference management.</w:t>
      </w:r>
    </w:p>
    <w:p>
      <w:pPr>
        <w:pStyle w:val="Heading3"/>
        <w:spacing w:before="200" w:after="120"/>
      </w:pPr>
      <w:r>
        <w:rPr>
          <w:rFonts w:ascii="Arial" w:cs="Arial" w:eastAsia="Arial" w:hAnsi="Arial"/>
          <w:b/>
          <w:bCs/>
          <w:color w:val="2C3E50"/>
          <w:sz w:val="24"/>
          <w:szCs w:val="24"/>
        </w:rPr>
        <w:t xml:space="preserve">XII.1.1 — Strategic Objectives</w:t>
      </w:r>
    </w:p>
    <w:p>
      <w:pPr>
        <w:spacing w:before="80" w:after="80"/>
        <w:jc w:val="left"/>
      </w:pPr>
      <w:r>
        <w:rPr>
          <w:rFonts w:ascii="Arial" w:cs="Arial" w:eastAsia="Arial" w:hAnsi="Arial"/>
          <w:b w:val="false"/>
          <w:bCs w:val="false"/>
          <w:i w:val="false"/>
          <w:iCs w:val="false"/>
          <w:color w:val="333333"/>
          <w:sz w:val="22"/>
          <w:szCs w:val="22"/>
        </w:rPr>
        <w:t xml:space="preserve">This section is organized around five strategic objectives that collectively ensure long-term framework viability and organizational value delivery:</w:t>
      </w:r>
    </w:p>
    <w:p>
      <w:pPr>
        <w:pStyle w:val="ListParagraph"/>
        <w:numPr>
          <w:ilvl w:val="0"/>
          <w:numId w:val="2"/>
        </w:numPr>
        <w:spacing w:before="40" w:after="40"/>
      </w:pPr>
      <w:r>
        <w:rPr>
          <w:rFonts w:ascii="Arial" w:cs="Arial" w:eastAsia="Arial" w:hAnsi="Arial"/>
          <w:b/>
          <w:bCs/>
          <w:color w:val="333333"/>
          <w:sz w:val="22"/>
          <w:szCs w:val="22"/>
        </w:rPr>
        <w:t xml:space="preserve">Dependency Transparency: </w:t>
      </w:r>
      <w:r>
        <w:rPr>
          <w:rFonts w:ascii="Arial" w:cs="Arial" w:eastAsia="Arial" w:hAnsi="Arial"/>
          <w:color w:val="333333"/>
          <w:sz w:val="22"/>
          <w:szCs w:val="22"/>
        </w:rPr>
        <w:t xml:space="preserve">Map and manage all cross-framework, technology, organizational, and regulatory dependencies to prevent cascading failures and enable coordinated change management across all eleven preceding parts.</w:t>
      </w:r>
    </w:p>
    <w:p>
      <w:pPr>
        <w:pStyle w:val="ListParagraph"/>
        <w:numPr>
          <w:ilvl w:val="0"/>
          <w:numId w:val="2"/>
        </w:numPr>
        <w:spacing w:before="40" w:after="40"/>
      </w:pPr>
      <w:r>
        <w:rPr>
          <w:rFonts w:ascii="Arial" w:cs="Arial" w:eastAsia="Arial" w:hAnsi="Arial"/>
          <w:b/>
          <w:bCs/>
          <w:color w:val="333333"/>
          <w:sz w:val="22"/>
          <w:szCs w:val="22"/>
        </w:rPr>
        <w:t xml:space="preserve">Improvement Systematization: </w:t>
      </w:r>
      <w:r>
        <w:rPr>
          <w:rFonts w:ascii="Arial" w:cs="Arial" w:eastAsia="Arial" w:hAnsi="Arial"/>
          <w:color w:val="333333"/>
          <w:sz w:val="22"/>
          <w:szCs w:val="22"/>
        </w:rPr>
        <w:t xml:space="preserve">Establish formal continuous improvement mechanisms including feedback loops, retrospective processes, maturity advancement protocols, and innovation integration pathways that operate at predictable cadences.</w:t>
      </w:r>
    </w:p>
    <w:p>
      <w:pPr>
        <w:pStyle w:val="ListParagraph"/>
        <w:numPr>
          <w:ilvl w:val="0"/>
          <w:numId w:val="2"/>
        </w:numPr>
        <w:spacing w:before="40" w:after="40"/>
      </w:pPr>
      <w:r>
        <w:rPr>
          <w:rFonts w:ascii="Arial" w:cs="Arial" w:eastAsia="Arial" w:hAnsi="Arial"/>
          <w:b/>
          <w:bCs/>
          <w:color w:val="333333"/>
          <w:sz w:val="22"/>
          <w:szCs w:val="22"/>
        </w:rPr>
        <w:t xml:space="preserve">Framework Coherence: </w:t>
      </w:r>
      <w:r>
        <w:rPr>
          <w:rFonts w:ascii="Arial" w:cs="Arial" w:eastAsia="Arial" w:hAnsi="Arial"/>
          <w:color w:val="333333"/>
          <w:sz w:val="22"/>
          <w:szCs w:val="22"/>
        </w:rPr>
        <w:t xml:space="preserve">Maintain version control, change management, and cross-reference integrity across all framework components to ensure that updates in one part propagate appropriately to dependent parts.</w:t>
      </w:r>
    </w:p>
    <w:p>
      <w:pPr>
        <w:pStyle w:val="ListParagraph"/>
        <w:numPr>
          <w:ilvl w:val="0"/>
          <w:numId w:val="2"/>
        </w:numPr>
        <w:spacing w:before="40" w:after="40"/>
      </w:pPr>
      <w:r>
        <w:rPr>
          <w:rFonts w:ascii="Arial" w:cs="Arial" w:eastAsia="Arial" w:hAnsi="Arial"/>
          <w:b/>
          <w:bCs/>
          <w:color w:val="333333"/>
          <w:sz w:val="22"/>
          <w:szCs w:val="22"/>
        </w:rPr>
        <w:t xml:space="preserve">Implementation Resilience: </w:t>
      </w:r>
      <w:r>
        <w:rPr>
          <w:rFonts w:ascii="Arial" w:cs="Arial" w:eastAsia="Arial" w:hAnsi="Arial"/>
          <w:color w:val="333333"/>
          <w:sz w:val="22"/>
          <w:szCs w:val="22"/>
        </w:rPr>
        <w:t xml:space="preserve">Define prerequisite chains, critical path dependencies, and risk-adjusted sequencing that enables organizations to adopt the framework progressively without creating governance gaps.</w:t>
      </w:r>
    </w:p>
    <w:p>
      <w:pPr>
        <w:pStyle w:val="ListParagraph"/>
        <w:numPr>
          <w:ilvl w:val="0"/>
          <w:numId w:val="2"/>
        </w:numPr>
        <w:spacing w:before="40" w:after="40"/>
      </w:pPr>
      <w:r>
        <w:rPr>
          <w:rFonts w:ascii="Arial" w:cs="Arial" w:eastAsia="Arial" w:hAnsi="Arial"/>
          <w:b/>
          <w:bCs/>
          <w:color w:val="333333"/>
          <w:sz w:val="22"/>
          <w:szCs w:val="22"/>
        </w:rPr>
        <w:t xml:space="preserve">Evidentiary Foundation: </w:t>
      </w:r>
      <w:r>
        <w:rPr>
          <w:rFonts w:ascii="Arial" w:cs="Arial" w:eastAsia="Arial" w:hAnsi="Arial"/>
          <w:color w:val="333333"/>
          <w:sz w:val="22"/>
          <w:szCs w:val="22"/>
        </w:rPr>
        <w:t xml:space="preserve">Consolidate all source materials, industry standards, regulatory requirements, and intellectual references into a single authoritative library that supports audit, compliance, and knowledge transfer requirements.</w:t>
      </w:r>
    </w:p>
    <w:p>
      <w:pPr>
        <w:pStyle w:val="Heading3"/>
        <w:spacing w:before="200" w:after="120"/>
      </w:pPr>
      <w:r>
        <w:rPr>
          <w:rFonts w:ascii="Arial" w:cs="Arial" w:eastAsia="Arial" w:hAnsi="Arial"/>
          <w:b/>
          <w:bCs/>
          <w:color w:val="2C3E50"/>
          <w:sz w:val="24"/>
          <w:szCs w:val="24"/>
        </w:rPr>
        <w:t xml:space="preserve">XII.1.2 — Scope and Relationship to Preceding Parts</w:t>
      </w:r>
    </w:p>
    <w:p>
      <w:pPr>
        <w:spacing w:before="80" w:after="80"/>
        <w:jc w:val="left"/>
      </w:pPr>
      <w:r>
        <w:rPr>
          <w:rFonts w:ascii="Arial" w:cs="Arial" w:eastAsia="Arial" w:hAnsi="Arial"/>
          <w:b w:val="false"/>
          <w:bCs w:val="false"/>
          <w:i w:val="false"/>
          <w:iCs w:val="false"/>
          <w:color w:val="333333"/>
          <w:sz w:val="22"/>
          <w:szCs w:val="22"/>
        </w:rPr>
        <w:t xml:space="preserve">Part XII operates as the meta-governance layer for the entire playbook. Every preceding part generates dependencies that must be tracked, improvement signals that must be processed, and references that must be maintained. The dependency map in Section XII.2 identifies over 120 cross-framework linkages. The continuous improvement framework in Section XII.6 defines 8 distinct improvement cycles operating at cadences ranging from daily to annual. The consolidated reference library in Section XII.10 catalogs all source documents, standards, frameworks, and regulations referenced throughout the playbook.</w:t>
      </w:r>
    </w:p>
    <w:p>
      <w:pPr>
        <w:spacing w:before="80" w:after="80"/>
        <w:jc w:val="left"/>
      </w:pPr>
      <w:r>
        <w:rPr>
          <w:rFonts w:ascii="Arial" w:cs="Arial" w:eastAsia="Arial" w:hAnsi="Arial"/>
          <w:b w:val="false"/>
          <w:bCs w:val="false"/>
          <w:i w:val="false"/>
          <w:iCs w:val="false"/>
          <w:color w:val="333333"/>
          <w:sz w:val="22"/>
          <w:szCs w:val="22"/>
        </w:rPr>
        <w:t xml:space="preserve">This section is designed to be used by governance program managers, CoE leadership, audit and compliance teams, and enterprise architecture functions as the primary instrument for maintaining framework health over multi-year operational horizons.</w:t>
      </w:r>
    </w:p>
    <w:p>
      <w:r>
        <w:br w:type="page"/>
      </w:r>
    </w:p>
    <w:p>
      <w:pPr>
        <w:pStyle w:val="Heading2"/>
        <w:spacing w:before="280" w:after="160"/>
      </w:pPr>
      <w:r>
        <w:rPr>
          <w:rFonts w:ascii="Arial" w:cs="Arial" w:eastAsia="Arial" w:hAnsi="Arial"/>
          <w:b/>
          <w:bCs/>
          <w:color w:val="2E75B6"/>
          <w:sz w:val="28"/>
          <w:szCs w:val="28"/>
        </w:rPr>
        <w:t xml:space="preserve">XII.2 — Cross-Framework Dependencies and Integration Map</w:t>
      </w:r>
    </w:p>
    <w:p>
      <w:pPr>
        <w:pStyle w:val="Heading3"/>
        <w:spacing w:before="200" w:after="120"/>
      </w:pPr>
      <w:r>
        <w:rPr>
          <w:rFonts w:ascii="Arial" w:cs="Arial" w:eastAsia="Arial" w:hAnsi="Arial"/>
          <w:b/>
          <w:bCs/>
          <w:color w:val="2C3E50"/>
          <w:sz w:val="24"/>
          <w:szCs w:val="24"/>
        </w:rPr>
        <w:t xml:space="preserve">XII.2.1 — Part-to-Part Dependency Matrix</w:t>
      </w:r>
    </w:p>
    <w:p>
      <w:pPr>
        <w:spacing w:before="80" w:after="80"/>
        <w:jc w:val="left"/>
      </w:pPr>
      <w:r>
        <w:rPr>
          <w:rFonts w:ascii="Arial" w:cs="Arial" w:eastAsia="Arial" w:hAnsi="Arial"/>
          <w:b w:val="false"/>
          <w:bCs w:val="false"/>
          <w:i w:val="false"/>
          <w:iCs w:val="false"/>
          <w:color w:val="333333"/>
          <w:sz w:val="22"/>
          <w:szCs w:val="22"/>
        </w:rPr>
        <w:t xml:space="preserve">The following matrix identifies the primary dependencies between each major part of the playbook. These dependencies determine the order in which framework components should be implemented, the change propagation paths when updates occur, and the integration testing requirements when modifications are made to any single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Part</w:t>
            </w:r>
          </w:p>
        </w:tc>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 Type</w:t>
            </w:r>
          </w:p>
        </w:tc>
        <w:tc>
          <w:tcPr>
            <w:tcW w:type="dxa" w:w="168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Coupling</w:t>
            </w:r>
          </w:p>
        </w:tc>
        <w:tc>
          <w:tcPr>
            <w:tcW w:type="dxa" w:w="168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Impact</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I–II</w:t>
            </w:r>
          </w:p>
          <w:p>
            <w:pPr>
              <w:spacing w:before="20" w:after="20"/>
            </w:pPr>
            <w:r>
              <w:rPr>
                <w:rFonts w:ascii="Arial" w:cs="Arial" w:eastAsia="Arial" w:hAnsi="Arial"/>
                <w:color w:val="333333"/>
                <w:sz w:val="20"/>
                <w:szCs w:val="20"/>
              </w:rPr>
              <w:t xml:space="preserve">Strategic Foundation</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(root)</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Foundation</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Cascading to all</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III</w:t>
            </w:r>
          </w:p>
          <w:p>
            <w:pPr>
              <w:spacing w:before="20" w:after="20"/>
            </w:pPr>
            <w:r>
              <w:rPr>
                <w:rFonts w:ascii="Arial" w:cs="Arial" w:eastAsia="Arial" w:hAnsi="Arial"/>
                <w:color w:val="333333"/>
                <w:sz w:val="20"/>
                <w:szCs w:val="20"/>
              </w:rPr>
              <w:t xml:space="preserve">Agentic SDLC</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Architectural, Security, AI Governance</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VII–IX</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IV</w:t>
            </w:r>
          </w:p>
          <w:p>
            <w:pPr>
              <w:spacing w:before="20" w:after="20"/>
            </w:pPr>
            <w:r>
              <w:rPr>
                <w:rFonts w:ascii="Arial" w:cs="Arial" w:eastAsia="Arial" w:hAnsi="Arial"/>
                <w:color w:val="333333"/>
                <w:sz w:val="20"/>
                <w:szCs w:val="20"/>
              </w:rPr>
              <w:t xml:space="preserve">DevSecOps</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III</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Pipeline Integration, Policy Alignment</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 VII, IX</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V</w:t>
            </w:r>
          </w:p>
          <w:p>
            <w:pPr>
              <w:spacing w:before="20" w:after="20"/>
            </w:pPr>
            <w:r>
              <w:rPr>
                <w:rFonts w:ascii="Arial" w:cs="Arial" w:eastAsia="Arial" w:hAnsi="Arial"/>
                <w:color w:val="333333"/>
                <w:sz w:val="20"/>
                <w:szCs w:val="20"/>
              </w:rPr>
              <w:t xml:space="preserve">TPRM</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Risk Framework, Security Standards</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 IX</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VI</w:t>
            </w:r>
          </w:p>
          <w:p>
            <w:pPr>
              <w:spacing w:before="20" w:after="20"/>
            </w:pPr>
            <w:r>
              <w:rPr>
                <w:rFonts w:ascii="Arial" w:cs="Arial" w:eastAsia="Arial" w:hAnsi="Arial"/>
                <w:color w:val="333333"/>
                <w:sz w:val="20"/>
                <w:szCs w:val="20"/>
              </w:rPr>
              <w:t xml:space="preserve">AI Governance</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III, IV</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Model Lifecycle, Security, SDLC</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 VII</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VII</w:t>
            </w:r>
          </w:p>
          <w:p>
            <w:pPr>
              <w:spacing w:before="20" w:after="20"/>
            </w:pPr>
            <w:r>
              <w:rPr>
                <w:rFonts w:ascii="Arial" w:cs="Arial" w:eastAsia="Arial" w:hAnsi="Arial"/>
                <w:color w:val="333333"/>
                <w:sz w:val="20"/>
                <w:szCs w:val="20"/>
              </w:rPr>
              <w:t xml:space="preserve">Testing</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Quality Gates, AI Validation, Security</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VIII</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VIII</w:t>
            </w:r>
          </w:p>
          <w:p>
            <w:pPr>
              <w:spacing w:before="20" w:after="20"/>
            </w:pPr>
            <w:r>
              <w:rPr>
                <w:rFonts w:ascii="Arial" w:cs="Arial" w:eastAsia="Arial" w:hAnsi="Arial"/>
                <w:color w:val="333333"/>
                <w:sz w:val="20"/>
                <w:szCs w:val="20"/>
              </w:rPr>
              <w:t xml:space="preserve">Dev Standards</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Coding Standards, Pipeline, Quality</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VII, IX</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IX</w:t>
            </w:r>
          </w:p>
          <w:p>
            <w:pPr>
              <w:spacing w:before="20" w:after="20"/>
            </w:pPr>
            <w:r>
              <w:rPr>
                <w:rFonts w:ascii="Arial" w:cs="Arial" w:eastAsia="Arial" w:hAnsi="Arial"/>
                <w:color w:val="333333"/>
                <w:sz w:val="20"/>
                <w:szCs w:val="20"/>
              </w:rPr>
              <w:t xml:space="preserve">Operations</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VIII</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Deployment, Monitoring, Incident</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X</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X</w:t>
            </w:r>
          </w:p>
          <w:p>
            <w:pPr>
              <w:spacing w:before="20" w:after="20"/>
            </w:pPr>
            <w:r>
              <w:rPr>
                <w:rFonts w:ascii="Arial" w:cs="Arial" w:eastAsia="Arial" w:hAnsi="Arial"/>
                <w:color w:val="333333"/>
                <w:sz w:val="20"/>
                <w:szCs w:val="20"/>
              </w:rPr>
              <w:t xml:space="preserve">Acceleration</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I–IX (all)</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Change Management, Adoption</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6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XI, XII</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333333"/>
                <w:sz w:val="20"/>
                <w:szCs w:val="20"/>
              </w:rPr>
              <w:t xml:space="preserve">Part XI</w:t>
            </w:r>
          </w:p>
          <w:p>
            <w:pPr>
              <w:spacing w:before="20" w:after="20"/>
            </w:pPr>
            <w:r>
              <w:rPr>
                <w:rFonts w:ascii="Arial" w:cs="Arial" w:eastAsia="Arial" w:hAnsi="Arial"/>
                <w:color w:val="333333"/>
                <w:sz w:val="20"/>
                <w:szCs w:val="20"/>
              </w:rPr>
              <w:t xml:space="preserve">Measurement</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I–X (all)</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KPIs, Dashboards, Maturity</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6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X, XII</w:t>
            </w:r>
          </w:p>
        </w:tc>
      </w:tr>
    </w:tbl>
    <w:p>
      <w:pPr>
        <w:pStyle w:val="Heading3"/>
        <w:spacing w:before="200" w:after="120"/>
      </w:pPr>
      <w:r>
        <w:rPr>
          <w:rFonts w:ascii="Arial" w:cs="Arial" w:eastAsia="Arial" w:hAnsi="Arial"/>
          <w:b/>
          <w:bCs/>
          <w:color w:val="2C3E50"/>
          <w:sz w:val="24"/>
          <w:szCs w:val="24"/>
        </w:rPr>
        <w:t xml:space="preserve">XII.2.2 — Critical Integration Points</w:t>
      </w:r>
    </w:p>
    <w:p>
      <w:pPr>
        <w:spacing w:before="80" w:after="80"/>
        <w:jc w:val="left"/>
      </w:pPr>
      <w:r>
        <w:rPr>
          <w:rFonts w:ascii="Arial" w:cs="Arial" w:eastAsia="Arial" w:hAnsi="Arial"/>
          <w:b w:val="false"/>
          <w:bCs w:val="false"/>
          <w:i w:val="false"/>
          <w:iCs w:val="false"/>
          <w:color w:val="333333"/>
          <w:sz w:val="22"/>
          <w:szCs w:val="22"/>
        </w:rPr>
        <w:t xml:space="preserve">Beyond part-level dependencies, specific subsection integration points require coordinated management. The following identifies the highest-impact integration points that, if disrupted, create governance gaps:</w:t>
      </w:r>
    </w:p>
    <w:p>
      <w:pPr>
        <w:pStyle w:val="ListParagraph"/>
        <w:numPr>
          <w:ilvl w:val="0"/>
          <w:numId w:val="2"/>
        </w:numPr>
        <w:spacing w:before="40" w:after="40"/>
      </w:pPr>
      <w:r>
        <w:rPr>
          <w:rFonts w:ascii="Arial" w:cs="Arial" w:eastAsia="Arial" w:hAnsi="Arial"/>
          <w:b/>
          <w:bCs/>
          <w:color w:val="333333"/>
          <w:sz w:val="22"/>
          <w:szCs w:val="22"/>
        </w:rPr>
        <w:t xml:space="preserve">Security Policy Cascade (IV → III → V → IX): </w:t>
      </w:r>
      <w:r>
        <w:rPr>
          <w:rFonts w:ascii="Arial" w:cs="Arial" w:eastAsia="Arial" w:hAnsi="Arial"/>
          <w:color w:val="333333"/>
          <w:sz w:val="22"/>
          <w:szCs w:val="22"/>
        </w:rPr>
        <w:t xml:space="preserve">Security requirements defined in the DevSecOps framework must propagate through the Agentic SDLC pipeline configuration, inform third-party vendor security requirements, and align with operational security monitoring. A policy change in Part IV triggers mandatory review across three downstream parts.</w:t>
      </w:r>
    </w:p>
    <w:p>
      <w:pPr>
        <w:pStyle w:val="ListParagraph"/>
        <w:numPr>
          <w:ilvl w:val="0"/>
          <w:numId w:val="2"/>
        </w:numPr>
        <w:spacing w:before="40" w:after="40"/>
      </w:pPr>
      <w:r>
        <w:rPr>
          <w:rFonts w:ascii="Arial" w:cs="Arial" w:eastAsia="Arial" w:hAnsi="Arial"/>
          <w:b/>
          <w:bCs/>
          <w:color w:val="333333"/>
          <w:sz w:val="22"/>
          <w:szCs w:val="22"/>
        </w:rPr>
        <w:t xml:space="preserve">AI Model Lifecycle Chain (VI → III → VII → IX): </w:t>
      </w:r>
      <w:r>
        <w:rPr>
          <w:rFonts w:ascii="Arial" w:cs="Arial" w:eastAsia="Arial" w:hAnsi="Arial"/>
          <w:color w:val="333333"/>
          <w:sz w:val="22"/>
          <w:szCs w:val="22"/>
        </w:rPr>
        <w:t xml:space="preserve">AI governance policies flow through the agentic development pipeline, into testing and validation frameworks, and ultimately into production monitoring. Model risk classification changes in Part VI cascade through all three dependent parts.</w:t>
      </w:r>
    </w:p>
    <w:p>
      <w:pPr>
        <w:pStyle w:val="ListParagraph"/>
        <w:numPr>
          <w:ilvl w:val="0"/>
          <w:numId w:val="2"/>
        </w:numPr>
        <w:spacing w:before="40" w:after="40"/>
      </w:pPr>
      <w:r>
        <w:rPr>
          <w:rFonts w:ascii="Arial" w:cs="Arial" w:eastAsia="Arial" w:hAnsi="Arial"/>
          <w:b/>
          <w:bCs/>
          <w:color w:val="333333"/>
          <w:sz w:val="22"/>
          <w:szCs w:val="22"/>
        </w:rPr>
        <w:t xml:space="preserve">Quality Gate Synchronization (VII → III → IV → VIII): </w:t>
      </w:r>
      <w:r>
        <w:rPr>
          <w:rFonts w:ascii="Arial" w:cs="Arial" w:eastAsia="Arial" w:hAnsi="Arial"/>
          <w:color w:val="333333"/>
          <w:sz w:val="22"/>
          <w:szCs w:val="22"/>
        </w:rPr>
        <w:t xml:space="preserve">Testing framework changes must synchronize with SDLC pipeline gates, DevSecOps scan requirements, and development standards. Quality threshold modifications require coordinated updates across all four parts.</w:t>
      </w:r>
    </w:p>
    <w:p>
      <w:pPr>
        <w:pStyle w:val="ListParagraph"/>
        <w:numPr>
          <w:ilvl w:val="0"/>
          <w:numId w:val="2"/>
        </w:numPr>
        <w:spacing w:before="40" w:after="40"/>
      </w:pPr>
      <w:r>
        <w:rPr>
          <w:rFonts w:ascii="Arial" w:cs="Arial" w:eastAsia="Arial" w:hAnsi="Arial"/>
          <w:b/>
          <w:bCs/>
          <w:color w:val="333333"/>
          <w:sz w:val="22"/>
          <w:szCs w:val="22"/>
        </w:rPr>
        <w:t xml:space="preserve">Compliance Requirement Propagation (All → V → IV → IX): </w:t>
      </w:r>
      <w:r>
        <w:rPr>
          <w:rFonts w:ascii="Arial" w:cs="Arial" w:eastAsia="Arial" w:hAnsi="Arial"/>
          <w:color w:val="333333"/>
          <w:sz w:val="22"/>
          <w:szCs w:val="22"/>
        </w:rPr>
        <w:t xml:space="preserve">Regulatory changes detected through any part must propagate through third-party risk management, security compliance automation, and operational compliance monitoring.</w:t>
      </w:r>
    </w:p>
    <w:p>
      <w:pPr>
        <w:pStyle w:val="ListParagraph"/>
        <w:numPr>
          <w:ilvl w:val="0"/>
          <w:numId w:val="2"/>
        </w:numPr>
        <w:spacing w:before="40" w:after="40"/>
      </w:pPr>
      <w:r>
        <w:rPr>
          <w:rFonts w:ascii="Arial" w:cs="Arial" w:eastAsia="Arial" w:hAnsi="Arial"/>
          <w:b/>
          <w:bCs/>
          <w:color w:val="333333"/>
          <w:sz w:val="22"/>
          <w:szCs w:val="22"/>
        </w:rPr>
        <w:t xml:space="preserve">Maturity Model Alignment (XI → All): </w:t>
      </w:r>
      <w:r>
        <w:rPr>
          <w:rFonts w:ascii="Arial" w:cs="Arial" w:eastAsia="Arial" w:hAnsi="Arial"/>
          <w:color w:val="333333"/>
          <w:sz w:val="22"/>
          <w:szCs w:val="22"/>
        </w:rPr>
        <w:t xml:space="preserve">Maturity assessment criteria defined in Part XI must align with the domain-specific maturity models defined in Parts IV, VII, VIII, IX, and X. Changes to the enterprise maturity framework require synchronization across all domain-specific models.</w:t>
      </w:r>
    </w:p>
    <w:p>
      <w:pPr>
        <w:pStyle w:val="Heading3"/>
        <w:spacing w:before="200" w:after="120"/>
      </w:pPr>
      <w:r>
        <w:rPr>
          <w:rFonts w:ascii="Arial" w:cs="Arial" w:eastAsia="Arial" w:hAnsi="Arial"/>
          <w:b/>
          <w:bCs/>
          <w:color w:val="2C3E50"/>
          <w:sz w:val="24"/>
          <w:szCs w:val="24"/>
        </w:rPr>
        <w:t xml:space="preserve">XII.2.3 — Dependency Governance Protocol</w:t>
      </w:r>
    </w:p>
    <w:p>
      <w:pPr>
        <w:spacing w:before="80" w:after="80"/>
        <w:jc w:val="left"/>
      </w:pPr>
      <w:r>
        <w:rPr>
          <w:rFonts w:ascii="Arial" w:cs="Arial" w:eastAsia="Arial" w:hAnsi="Arial"/>
          <w:b w:val="false"/>
          <w:bCs w:val="false"/>
          <w:i w:val="false"/>
          <w:iCs w:val="false"/>
          <w:color w:val="333333"/>
          <w:sz w:val="22"/>
          <w:szCs w:val="22"/>
        </w:rPr>
        <w:t xml:space="preserve">To manage these dependencies systematically, the organization shall implement a formal dependency governance protocol:</w:t>
      </w:r>
    </w:p>
    <w:p>
      <w:pPr>
        <w:pStyle w:val="ListParagraph"/>
        <w:numPr>
          <w:ilvl w:val="0"/>
          <w:numId w:val="3"/>
        </w:numPr>
        <w:spacing w:before="40" w:after="40"/>
      </w:pPr>
      <w:r>
        <w:rPr>
          <w:rFonts w:ascii="Arial" w:cs="Arial" w:eastAsia="Arial" w:hAnsi="Arial"/>
          <w:color w:val="333333"/>
          <w:sz w:val="22"/>
          <w:szCs w:val="22"/>
        </w:rPr>
        <w:t xml:space="preserve">Dependency Registry: Maintain a machine-readable registry of all cross-framework dependencies, updated quarterly, with automated impact analysis capabilities.</w:t>
      </w:r>
    </w:p>
    <w:p>
      <w:pPr>
        <w:pStyle w:val="ListParagraph"/>
        <w:numPr>
          <w:ilvl w:val="0"/>
          <w:numId w:val="3"/>
        </w:numPr>
        <w:spacing w:before="40" w:after="40"/>
      </w:pPr>
      <w:r>
        <w:rPr>
          <w:rFonts w:ascii="Arial" w:cs="Arial" w:eastAsia="Arial" w:hAnsi="Arial"/>
          <w:color w:val="333333"/>
          <w:sz w:val="22"/>
          <w:szCs w:val="22"/>
        </w:rPr>
        <w:t xml:space="preserve">Change Propagation Workflow: When any part is modified, the dependency registry automatically identifies affected parts and generates review tasks for responsible owners.</w:t>
      </w:r>
    </w:p>
    <w:p>
      <w:pPr>
        <w:pStyle w:val="ListParagraph"/>
        <w:numPr>
          <w:ilvl w:val="0"/>
          <w:numId w:val="3"/>
        </w:numPr>
        <w:spacing w:before="40" w:after="40"/>
      </w:pPr>
      <w:r>
        <w:rPr>
          <w:rFonts w:ascii="Arial" w:cs="Arial" w:eastAsia="Arial" w:hAnsi="Arial"/>
          <w:color w:val="333333"/>
          <w:sz w:val="22"/>
          <w:szCs w:val="22"/>
        </w:rPr>
        <w:t xml:space="preserve">Integration Testing: Major framework changes require cross-part integration testing before deployment, using the dependency matrix to determine test scope.</w:t>
      </w:r>
    </w:p>
    <w:p>
      <w:pPr>
        <w:pStyle w:val="ListParagraph"/>
        <w:numPr>
          <w:ilvl w:val="0"/>
          <w:numId w:val="3"/>
        </w:numPr>
        <w:spacing w:before="40" w:after="40"/>
      </w:pPr>
      <w:r>
        <w:rPr>
          <w:rFonts w:ascii="Arial" w:cs="Arial" w:eastAsia="Arial" w:hAnsi="Arial"/>
          <w:color w:val="333333"/>
          <w:sz w:val="22"/>
          <w:szCs w:val="22"/>
        </w:rPr>
        <w:t xml:space="preserve">Dependency Health Dashboard: Real-time monitoring of dependency status including version alignment, policy consistency, and cross-reference integrity.</w:t>
      </w:r>
    </w:p>
    <w:p>
      <w:pPr>
        <w:pStyle w:val="ListParagraph"/>
        <w:numPr>
          <w:ilvl w:val="0"/>
          <w:numId w:val="3"/>
        </w:numPr>
        <w:spacing w:before="40" w:after="40"/>
      </w:pPr>
      <w:r>
        <w:rPr>
          <w:rFonts w:ascii="Arial" w:cs="Arial" w:eastAsia="Arial" w:hAnsi="Arial"/>
          <w:color w:val="333333"/>
          <w:sz w:val="22"/>
          <w:szCs w:val="22"/>
        </w:rPr>
        <w:t xml:space="preserve">Quarterly Dependency Review: Formal review of all critical dependencies by the Governance Council with authority to mandate corrective actions.</w:t>
      </w:r>
    </w:p>
    <w:p>
      <w:r>
        <w:br w:type="page"/>
      </w:r>
    </w:p>
    <w:p>
      <w:pPr>
        <w:pStyle w:val="Heading2"/>
        <w:spacing w:before="280" w:after="160"/>
      </w:pPr>
      <w:r>
        <w:rPr>
          <w:rFonts w:ascii="Arial" w:cs="Arial" w:eastAsia="Arial" w:hAnsi="Arial"/>
          <w:b/>
          <w:bCs/>
          <w:color w:val="2E75B6"/>
          <w:sz w:val="28"/>
          <w:szCs w:val="28"/>
        </w:rPr>
        <w:t xml:space="preserve">XII.3 — Technology Dependencies and Platform Requirements</w:t>
      </w:r>
    </w:p>
    <w:p>
      <w:pPr>
        <w:pStyle w:val="Heading3"/>
        <w:spacing w:before="200" w:after="120"/>
      </w:pPr>
      <w:r>
        <w:rPr>
          <w:rFonts w:ascii="Arial" w:cs="Arial" w:eastAsia="Arial" w:hAnsi="Arial"/>
          <w:b/>
          <w:bCs/>
          <w:color w:val="2C3E50"/>
          <w:sz w:val="24"/>
          <w:szCs w:val="24"/>
        </w:rPr>
        <w:t xml:space="preserve">XII.3.1 — Core Technology Stack Dependencies</w:t>
      </w:r>
    </w:p>
    <w:p>
      <w:pPr>
        <w:spacing w:before="80" w:after="80"/>
        <w:jc w:val="left"/>
      </w:pPr>
      <w:r>
        <w:rPr>
          <w:rFonts w:ascii="Arial" w:cs="Arial" w:eastAsia="Arial" w:hAnsi="Arial"/>
          <w:b w:val="false"/>
          <w:bCs w:val="false"/>
          <w:i w:val="false"/>
          <w:iCs w:val="false"/>
          <w:color w:val="333333"/>
          <w:sz w:val="22"/>
          <w:szCs w:val="22"/>
        </w:rPr>
        <w:t xml:space="preserve">The playbook assumes and requires specific technology capabilities across the enterprise. These technology dependencies are organized by capability tier, from foundational infrastructure through advanced AI-enabled governance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c>
          <w:tcPr>
            <w:tcW w:type="dxa" w:w="1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 Tier</w:t>
            </w:r>
          </w:p>
        </w:tc>
        <w:tc>
          <w:tcPr>
            <w:tcW w:type="dxa" w:w="2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Technologies</w:t>
            </w:r>
          </w:p>
        </w:tc>
        <w:tc>
          <w:tcPr>
            <w:tcW w:type="dxa" w:w="2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 Dependencies</w:t>
            </w:r>
          </w:p>
        </w:tc>
        <w:tc>
          <w:tcPr>
            <w:tcW w:type="dxa" w:w="24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 Maturity</w:t>
            </w:r>
          </w:p>
        </w:tc>
      </w:tr>
      <w:tr>
        <w:tc>
          <w:tcPr>
            <w:tcW w:type="dxa" w:w="1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1: Foundation</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Platform (AWS/Azure/GCP), Identity &amp; Access Management, Network Security, CI/CD Pipeline</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VIII, IX</w:t>
            </w:r>
          </w:p>
        </w:tc>
        <w:tc>
          <w:tcPr>
            <w:tcW w:type="dxa" w:w="24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Established</w:t>
            </w:r>
          </w:p>
        </w:tc>
      </w:tr>
      <w:tr>
        <w:tc>
          <w:tcPr>
            <w:tcW w:type="dxa" w:w="1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2: Observability</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APM, Log Aggregation, Distributed Tracing, SIEM, Metrics Platform</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IX, XI</w:t>
            </w:r>
          </w:p>
        </w:tc>
        <w:tc>
          <w:tcPr>
            <w:tcW w:type="dxa" w:w="24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w:t>
            </w:r>
          </w:p>
        </w:tc>
      </w:tr>
      <w:tr>
        <w:tc>
          <w:tcPr>
            <w:tcW w:type="dxa" w:w="1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3: Automation</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Infrastructure as Code, Configuration Management, Policy as Code, GitOps</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VIII, IX</w:t>
            </w:r>
          </w:p>
        </w:tc>
        <w:tc>
          <w:tcPr>
            <w:tcW w:type="dxa" w:w="24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w:t>
            </w:r>
          </w:p>
        </w:tc>
      </w:tr>
      <w:tr>
        <w:tc>
          <w:tcPr>
            <w:tcW w:type="dxa" w:w="1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4: AI/ML Platform</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ML Ops Platform, Model Registry, Feature Store, Experiment Tracking, GPU Compute</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 VII</w:t>
            </w:r>
          </w:p>
        </w:tc>
        <w:tc>
          <w:tcPr>
            <w:tcW w:type="dxa" w:w="24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Defined</w:t>
            </w:r>
          </w:p>
        </w:tc>
      </w:tr>
      <w:tr>
        <w:tc>
          <w:tcPr>
            <w:tcW w:type="dxa" w:w="1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5: Governance</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GRC Platform, SBOM Management, License Compliance, Audit Trail, Dashboard Platform</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VI, XI</w:t>
            </w:r>
          </w:p>
        </w:tc>
        <w:tc>
          <w:tcPr>
            <w:tcW w:type="dxa" w:w="24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Defined</w:t>
            </w:r>
          </w:p>
        </w:tc>
      </w:tr>
      <w:tr>
        <w:tc>
          <w:tcPr>
            <w:tcW w:type="dxa" w:w="1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Tier 6: Advanced AI</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Agentic AI Orchestration, LLM Gateway, Prompt Management, AI Safety Tooling</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 VII</w:t>
            </w:r>
          </w:p>
        </w:tc>
        <w:tc>
          <w:tcPr>
            <w:tcW w:type="dxa" w:w="24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Initial</w:t>
            </w:r>
          </w:p>
        </w:tc>
      </w:tr>
    </w:tbl>
    <w:p>
      <w:pPr>
        <w:pStyle w:val="Heading3"/>
        <w:spacing w:before="200" w:after="120"/>
      </w:pPr>
      <w:r>
        <w:rPr>
          <w:rFonts w:ascii="Arial" w:cs="Arial" w:eastAsia="Arial" w:hAnsi="Arial"/>
          <w:b/>
          <w:bCs/>
          <w:color w:val="2C3E50"/>
          <w:sz w:val="24"/>
          <w:szCs w:val="24"/>
        </w:rPr>
        <w:t xml:space="preserve">XII.3.2 — Technology Readiness Assessment</w:t>
      </w:r>
    </w:p>
    <w:p>
      <w:pPr>
        <w:spacing w:before="80" w:after="80"/>
        <w:jc w:val="left"/>
      </w:pPr>
      <w:r>
        <w:rPr>
          <w:rFonts w:ascii="Arial" w:cs="Arial" w:eastAsia="Arial" w:hAnsi="Arial"/>
          <w:b w:val="false"/>
          <w:bCs w:val="false"/>
          <w:i w:val="false"/>
          <w:iCs w:val="false"/>
          <w:color w:val="333333"/>
          <w:sz w:val="22"/>
          <w:szCs w:val="22"/>
        </w:rPr>
        <w:t xml:space="preserve">Organizations should conduct a technology readiness assessment before implementing each framework part. The assessment evaluates five dimensions for each required technology capability:</w:t>
      </w:r>
    </w:p>
    <w:p>
      <w:pPr>
        <w:pStyle w:val="ListParagraph"/>
        <w:numPr>
          <w:ilvl w:val="0"/>
          <w:numId w:val="2"/>
        </w:numPr>
        <w:spacing w:before="40" w:after="40"/>
      </w:pPr>
      <w:r>
        <w:rPr>
          <w:rFonts w:ascii="Arial" w:cs="Arial" w:eastAsia="Arial" w:hAnsi="Arial"/>
          <w:b/>
          <w:bCs/>
          <w:color w:val="333333"/>
          <w:sz w:val="22"/>
          <w:szCs w:val="22"/>
        </w:rPr>
        <w:t xml:space="preserve">Availability: </w:t>
      </w:r>
      <w:r>
        <w:rPr>
          <w:rFonts w:ascii="Arial" w:cs="Arial" w:eastAsia="Arial" w:hAnsi="Arial"/>
          <w:color w:val="333333"/>
          <w:sz w:val="22"/>
          <w:szCs w:val="22"/>
        </w:rPr>
        <w:t xml:space="preserve">Is the technology currently deployed, procured but not deployed, or not yet procured? Availability gaps require procurement lead times of 3–12 months depending on enterprise procurement cycles.</w:t>
      </w:r>
    </w:p>
    <w:p>
      <w:pPr>
        <w:pStyle w:val="ListParagraph"/>
        <w:numPr>
          <w:ilvl w:val="0"/>
          <w:numId w:val="2"/>
        </w:numPr>
        <w:spacing w:before="40" w:after="40"/>
      </w:pPr>
      <w:r>
        <w:rPr>
          <w:rFonts w:ascii="Arial" w:cs="Arial" w:eastAsia="Arial" w:hAnsi="Arial"/>
          <w:b/>
          <w:bCs/>
          <w:color w:val="333333"/>
          <w:sz w:val="22"/>
          <w:szCs w:val="22"/>
        </w:rPr>
        <w:t xml:space="preserve">Capability Maturity: </w:t>
      </w:r>
      <w:r>
        <w:rPr>
          <w:rFonts w:ascii="Arial" w:cs="Arial" w:eastAsia="Arial" w:hAnsi="Arial"/>
          <w:color w:val="333333"/>
          <w:sz w:val="22"/>
          <w:szCs w:val="22"/>
        </w:rPr>
        <w:t xml:space="preserve">Does the deployed technology meet the minimum capability requirements specified in the relevant framework part? Legacy tools may require upgrade or replacement.</w:t>
      </w:r>
    </w:p>
    <w:p>
      <w:pPr>
        <w:pStyle w:val="ListParagraph"/>
        <w:numPr>
          <w:ilvl w:val="0"/>
          <w:numId w:val="2"/>
        </w:numPr>
        <w:spacing w:before="40" w:after="40"/>
      </w:pPr>
      <w:r>
        <w:rPr>
          <w:rFonts w:ascii="Arial" w:cs="Arial" w:eastAsia="Arial" w:hAnsi="Arial"/>
          <w:b/>
          <w:bCs/>
          <w:color w:val="333333"/>
          <w:sz w:val="22"/>
          <w:szCs w:val="22"/>
        </w:rPr>
        <w:t xml:space="preserve">Integration Readiness: </w:t>
      </w:r>
      <w:r>
        <w:rPr>
          <w:rFonts w:ascii="Arial" w:cs="Arial" w:eastAsia="Arial" w:hAnsi="Arial"/>
          <w:color w:val="333333"/>
          <w:sz w:val="22"/>
          <w:szCs w:val="22"/>
        </w:rPr>
        <w:t xml:space="preserve">Can the technology integrate with adjacent stack components through APIs, event streams, or standardized protocols? Integration gaps are the most common blocker for framework adoption.</w:t>
      </w:r>
    </w:p>
    <w:p>
      <w:pPr>
        <w:pStyle w:val="ListParagraph"/>
        <w:numPr>
          <w:ilvl w:val="0"/>
          <w:numId w:val="2"/>
        </w:numPr>
        <w:spacing w:before="40" w:after="40"/>
      </w:pPr>
      <w:r>
        <w:rPr>
          <w:rFonts w:ascii="Arial" w:cs="Arial" w:eastAsia="Arial" w:hAnsi="Arial"/>
          <w:b/>
          <w:bCs/>
          <w:color w:val="333333"/>
          <w:sz w:val="22"/>
          <w:szCs w:val="22"/>
        </w:rPr>
        <w:t xml:space="preserve">Scalability Adequacy: </w:t>
      </w:r>
      <w:r>
        <w:rPr>
          <w:rFonts w:ascii="Arial" w:cs="Arial" w:eastAsia="Arial" w:hAnsi="Arial"/>
          <w:color w:val="333333"/>
          <w:sz w:val="22"/>
          <w:szCs w:val="22"/>
        </w:rPr>
        <w:t xml:space="preserve">Can the technology handle the volume of governance events, scanning operations, model evaluations, or metric collection required at enterprise scale?</w:t>
      </w:r>
    </w:p>
    <w:p>
      <w:pPr>
        <w:pStyle w:val="ListParagraph"/>
        <w:numPr>
          <w:ilvl w:val="0"/>
          <w:numId w:val="2"/>
        </w:numPr>
        <w:spacing w:before="40" w:after="40"/>
      </w:pPr>
      <w:r>
        <w:rPr>
          <w:rFonts w:ascii="Arial" w:cs="Arial" w:eastAsia="Arial" w:hAnsi="Arial"/>
          <w:b/>
          <w:bCs/>
          <w:color w:val="333333"/>
          <w:sz w:val="22"/>
          <w:szCs w:val="22"/>
        </w:rPr>
        <w:t xml:space="preserve">Operational Competency: </w:t>
      </w:r>
      <w:r>
        <w:rPr>
          <w:rFonts w:ascii="Arial" w:cs="Arial" w:eastAsia="Arial" w:hAnsi="Arial"/>
          <w:color w:val="333333"/>
          <w:sz w:val="22"/>
          <w:szCs w:val="22"/>
        </w:rPr>
        <w:t xml:space="preserve">Does the organization have sufficient expertise to operate, maintain, and evolve the technology? Skills gaps require training investments of 2–6 months.</w:t>
      </w:r>
    </w:p>
    <w:p>
      <w:pPr>
        <w:pStyle w:val="Heading3"/>
        <w:spacing w:before="200" w:after="120"/>
      </w:pPr>
      <w:r>
        <w:rPr>
          <w:rFonts w:ascii="Arial" w:cs="Arial" w:eastAsia="Arial" w:hAnsi="Arial"/>
          <w:b/>
          <w:bCs/>
          <w:color w:val="2C3E50"/>
          <w:sz w:val="24"/>
          <w:szCs w:val="24"/>
        </w:rPr>
        <w:t xml:space="preserve">XII.3.3 — Platform Integration Architecture</w:t>
      </w:r>
    </w:p>
    <w:p>
      <w:pPr>
        <w:spacing w:before="80" w:after="80"/>
        <w:jc w:val="left"/>
      </w:pPr>
      <w:r>
        <w:rPr>
          <w:rFonts w:ascii="Arial" w:cs="Arial" w:eastAsia="Arial" w:hAnsi="Arial"/>
          <w:b w:val="false"/>
          <w:bCs w:val="false"/>
          <w:i w:val="false"/>
          <w:iCs w:val="false"/>
          <w:color w:val="333333"/>
          <w:sz w:val="22"/>
          <w:szCs w:val="22"/>
        </w:rPr>
        <w:t xml:space="preserve">The governance framework requires a unified integration architecture that connects all technology components. This architecture follows a hub-and-spoke model with the Governance Platform serving as the central integration point:</w:t>
      </w:r>
    </w:p>
    <w:p>
      <w:pPr>
        <w:pStyle w:val="ListParagraph"/>
        <w:numPr>
          <w:ilvl w:val="0"/>
          <w:numId w:val="2"/>
        </w:numPr>
        <w:spacing w:before="40" w:after="40"/>
      </w:pPr>
      <w:r>
        <w:rPr>
          <w:rFonts w:ascii="Arial" w:cs="Arial" w:eastAsia="Arial" w:hAnsi="Arial"/>
          <w:b/>
          <w:bCs/>
          <w:color w:val="333333"/>
          <w:sz w:val="22"/>
          <w:szCs w:val="22"/>
        </w:rPr>
        <w:t xml:space="preserve">Event Bus Layer: </w:t>
      </w:r>
      <w:r>
        <w:rPr>
          <w:rFonts w:ascii="Arial" w:cs="Arial" w:eastAsia="Arial" w:hAnsi="Arial"/>
          <w:color w:val="333333"/>
          <w:sz w:val="22"/>
          <w:szCs w:val="22"/>
        </w:rPr>
        <w:t xml:space="preserve">All governance-relevant events (code commits, security scans, deployment approvals, model promotions, vendor assessments, incident triggers) flow through a centralized event bus that enables real-time cross-framework correlation.</w:t>
      </w:r>
    </w:p>
    <w:p>
      <w:pPr>
        <w:pStyle w:val="ListParagraph"/>
        <w:numPr>
          <w:ilvl w:val="0"/>
          <w:numId w:val="2"/>
        </w:numPr>
        <w:spacing w:before="40" w:after="40"/>
      </w:pPr>
      <w:r>
        <w:rPr>
          <w:rFonts w:ascii="Arial" w:cs="Arial" w:eastAsia="Arial" w:hAnsi="Arial"/>
          <w:b/>
          <w:bCs/>
          <w:color w:val="333333"/>
          <w:sz w:val="22"/>
          <w:szCs w:val="22"/>
        </w:rPr>
        <w:t xml:space="preserve">API Gateway Layer: </w:t>
      </w:r>
      <w:r>
        <w:rPr>
          <w:rFonts w:ascii="Arial" w:cs="Arial" w:eastAsia="Arial" w:hAnsi="Arial"/>
          <w:color w:val="333333"/>
          <w:sz w:val="22"/>
          <w:szCs w:val="22"/>
        </w:rPr>
        <w:t xml:space="preserve">Standardized API interfaces for all governance tools enable consistent data access, policy enforcement, and automation orchestration across the technology stack.</w:t>
      </w:r>
    </w:p>
    <w:p>
      <w:pPr>
        <w:pStyle w:val="ListParagraph"/>
        <w:numPr>
          <w:ilvl w:val="0"/>
          <w:numId w:val="2"/>
        </w:numPr>
        <w:spacing w:before="40" w:after="40"/>
      </w:pPr>
      <w:r>
        <w:rPr>
          <w:rFonts w:ascii="Arial" w:cs="Arial" w:eastAsia="Arial" w:hAnsi="Arial"/>
          <w:b/>
          <w:bCs/>
          <w:color w:val="333333"/>
          <w:sz w:val="22"/>
          <w:szCs w:val="22"/>
        </w:rPr>
        <w:t xml:space="preserve">Data Lake Layer: </w:t>
      </w:r>
      <w:r>
        <w:rPr>
          <w:rFonts w:ascii="Arial" w:cs="Arial" w:eastAsia="Arial" w:hAnsi="Arial"/>
          <w:color w:val="333333"/>
          <w:sz w:val="22"/>
          <w:szCs w:val="22"/>
        </w:rPr>
        <w:t xml:space="preserve">Governance telemetry, audit logs, compliance evidence, and performance metrics aggregate into a governance data lake that supports the dashboard and analytics requirements defined in Part XI.</w:t>
      </w:r>
    </w:p>
    <w:p>
      <w:pPr>
        <w:pStyle w:val="ListParagraph"/>
        <w:numPr>
          <w:ilvl w:val="0"/>
          <w:numId w:val="2"/>
        </w:numPr>
        <w:spacing w:before="40" w:after="40"/>
      </w:pPr>
      <w:r>
        <w:rPr>
          <w:rFonts w:ascii="Arial" w:cs="Arial" w:eastAsia="Arial" w:hAnsi="Arial"/>
          <w:b/>
          <w:bCs/>
          <w:color w:val="333333"/>
          <w:sz w:val="22"/>
          <w:szCs w:val="22"/>
        </w:rPr>
        <w:t xml:space="preserve">Policy Engine Layer: </w:t>
      </w:r>
      <w:r>
        <w:rPr>
          <w:rFonts w:ascii="Arial" w:cs="Arial" w:eastAsia="Arial" w:hAnsi="Arial"/>
          <w:color w:val="333333"/>
          <w:sz w:val="22"/>
          <w:szCs w:val="22"/>
        </w:rPr>
        <w:t xml:space="preserve">A centralized policy engine evaluates governance rules across all framework domains, ensuring consistent enforcement and reducing policy conflict between parts.</w:t>
      </w:r>
    </w:p>
    <w:p>
      <w:r>
        <w:br w:type="page"/>
      </w:r>
    </w:p>
    <w:p>
      <w:pPr>
        <w:pStyle w:val="Heading2"/>
        <w:spacing w:before="280" w:after="160"/>
      </w:pPr>
      <w:r>
        <w:rPr>
          <w:rFonts w:ascii="Arial" w:cs="Arial" w:eastAsia="Arial" w:hAnsi="Arial"/>
          <w:b/>
          <w:bCs/>
          <w:color w:val="2E75B6"/>
          <w:sz w:val="28"/>
          <w:szCs w:val="28"/>
        </w:rPr>
        <w:t xml:space="preserve">XII.4 — Organizational Dependencies and Capability Requirements</w:t>
      </w:r>
    </w:p>
    <w:p>
      <w:pPr>
        <w:pStyle w:val="Heading3"/>
        <w:spacing w:before="200" w:after="120"/>
      </w:pPr>
      <w:r>
        <w:rPr>
          <w:rFonts w:ascii="Arial" w:cs="Arial" w:eastAsia="Arial" w:hAnsi="Arial"/>
          <w:b/>
          <w:bCs/>
          <w:color w:val="2C3E50"/>
          <w:sz w:val="24"/>
          <w:szCs w:val="24"/>
        </w:rPr>
        <w:t xml:space="preserve">XII.4.1 — Organizational Capability Model</w:t>
      </w:r>
    </w:p>
    <w:p>
      <w:pPr>
        <w:spacing w:before="80" w:after="80"/>
        <w:jc w:val="left"/>
      </w:pPr>
      <w:r>
        <w:rPr>
          <w:rFonts w:ascii="Arial" w:cs="Arial" w:eastAsia="Arial" w:hAnsi="Arial"/>
          <w:b w:val="false"/>
          <w:bCs w:val="false"/>
          <w:i w:val="false"/>
          <w:iCs w:val="false"/>
          <w:color w:val="333333"/>
          <w:sz w:val="22"/>
          <w:szCs w:val="22"/>
        </w:rPr>
        <w:t xml:space="preserve">Framework implementation requires specific organizational capabilities that span people, processes, and culture. The following capability model defines the prerequisites for successful adoption at each implementation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80"/>
        <w:gridCol w:w="1880"/>
      </w:tblGrid>
      <w:tr>
        <w:tc>
          <w:tcPr>
            <w:tcW w:type="dxa" w:w="1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1 (Foundation)</w:t>
            </w:r>
          </w:p>
        </w:tc>
        <w:tc>
          <w:tcPr>
            <w:tcW w:type="dxa" w:w="2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2 (Expansion)</w:t>
            </w:r>
          </w:p>
        </w:tc>
        <w:tc>
          <w:tcPr>
            <w:tcW w:type="dxa" w:w="188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3 (Optimization)</w:t>
            </w:r>
          </w:p>
        </w:tc>
        <w:tc>
          <w:tcPr>
            <w:tcW w:type="dxa" w:w="188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4 (Innovation)</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Executive Sponsorship</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CIO/CTO commitment, governance charter signed</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Cross-functional executive alignment</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Board-level governance reporting</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Innovation investment mandate</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CoE Staffing</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core team members, CoE charter defined</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8–15 members with domain specializations</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federated model with embedded experts</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Self-sustaining with rotation program</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Skills &amp; Training</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fundamentals across IT leadership</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Domain-specific certification programs</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AI/ML governance specialization</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 learning culture</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Process Maturity</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Documented core processes (intake, review, approval)</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workflows with SLA tracking</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AI-augmented decision support</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Self-optimizing process chains</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Cultural Readiness</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Awareness and basic buy-in from development teams</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participation in governance activities</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seen as enabler, not blocker</w:t>
            </w:r>
          </w:p>
        </w:tc>
        <w:tc>
          <w:tcPr>
            <w:tcW w:type="dxa" w:w="188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Innovation-driven governance culture</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Change Capacity</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change management resources</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Embedded change agents in each team</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Self-service adoption with peer coaching</w:t>
            </w:r>
          </w:p>
        </w:tc>
        <w:tc>
          <w:tcPr>
            <w:tcW w:type="dxa" w:w="188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 transformation capability</w:t>
            </w:r>
          </w:p>
        </w:tc>
      </w:tr>
    </w:tbl>
    <w:p>
      <w:pPr>
        <w:pStyle w:val="Heading3"/>
        <w:spacing w:before="200" w:after="120"/>
      </w:pPr>
      <w:r>
        <w:rPr>
          <w:rFonts w:ascii="Arial" w:cs="Arial" w:eastAsia="Arial" w:hAnsi="Arial"/>
          <w:b/>
          <w:bCs/>
          <w:color w:val="2C3E50"/>
          <w:sz w:val="24"/>
          <w:szCs w:val="24"/>
        </w:rPr>
        <w:t xml:space="preserve">XII.4.2 — Governance Role Dependencies</w:t>
      </w:r>
    </w:p>
    <w:p>
      <w:pPr>
        <w:spacing w:before="80" w:after="80"/>
        <w:jc w:val="left"/>
      </w:pPr>
      <w:r>
        <w:rPr>
          <w:rFonts w:ascii="Arial" w:cs="Arial" w:eastAsia="Arial" w:hAnsi="Arial"/>
          <w:b w:val="false"/>
          <w:bCs w:val="false"/>
          <w:i w:val="false"/>
          <w:iCs w:val="false"/>
          <w:color w:val="333333"/>
          <w:sz w:val="22"/>
          <w:szCs w:val="22"/>
        </w:rPr>
        <w:t xml:space="preserve">Specific governance roles defined across the playbook create inter-part dependencies that must be managed through clear role definitions, escalation paths, and decision rights:</w:t>
      </w:r>
    </w:p>
    <w:p>
      <w:pPr>
        <w:pStyle w:val="ListParagraph"/>
        <w:numPr>
          <w:ilvl w:val="0"/>
          <w:numId w:val="2"/>
        </w:numPr>
        <w:spacing w:before="40" w:after="40"/>
      </w:pPr>
      <w:r>
        <w:rPr>
          <w:rFonts w:ascii="Arial" w:cs="Arial" w:eastAsia="Arial" w:hAnsi="Arial"/>
          <w:b/>
          <w:bCs/>
          <w:color w:val="333333"/>
          <w:sz w:val="22"/>
          <w:szCs w:val="22"/>
        </w:rPr>
        <w:t xml:space="preserve">Enterprise Architecture Board: </w:t>
      </w:r>
      <w:r>
        <w:rPr>
          <w:rFonts w:ascii="Arial" w:cs="Arial" w:eastAsia="Arial" w:hAnsi="Arial"/>
          <w:color w:val="333333"/>
          <w:sz w:val="22"/>
          <w:szCs w:val="22"/>
        </w:rPr>
        <w:t xml:space="preserve">Dependencies across Parts I–II (strategic alignment), Part III (architecture standards), Part VIII (development standards), and Part IX (operational architecture). This board must maintain cross-part consistency.</w:t>
      </w:r>
    </w:p>
    <w:p>
      <w:pPr>
        <w:pStyle w:val="ListParagraph"/>
        <w:numPr>
          <w:ilvl w:val="0"/>
          <w:numId w:val="2"/>
        </w:numPr>
        <w:spacing w:before="40" w:after="40"/>
      </w:pPr>
      <w:r>
        <w:rPr>
          <w:rFonts w:ascii="Arial" w:cs="Arial" w:eastAsia="Arial" w:hAnsi="Arial"/>
          <w:b/>
          <w:bCs/>
          <w:color w:val="333333"/>
          <w:sz w:val="22"/>
          <w:szCs w:val="22"/>
        </w:rPr>
        <w:t xml:space="preserve">Security Governance Council: </w:t>
      </w:r>
      <w:r>
        <w:rPr>
          <w:rFonts w:ascii="Arial" w:cs="Arial" w:eastAsia="Arial" w:hAnsi="Arial"/>
          <w:color w:val="333333"/>
          <w:sz w:val="22"/>
          <w:szCs w:val="22"/>
        </w:rPr>
        <w:t xml:space="preserve">Dependencies across Part IV (DevSecOps), Part V (third-party security), Part VI (AI security), and Part IX (security operations). This council owns the security policy cascade chain.</w:t>
      </w:r>
    </w:p>
    <w:p>
      <w:pPr>
        <w:pStyle w:val="ListParagraph"/>
        <w:numPr>
          <w:ilvl w:val="0"/>
          <w:numId w:val="2"/>
        </w:numPr>
        <w:spacing w:before="40" w:after="40"/>
      </w:pPr>
      <w:r>
        <w:rPr>
          <w:rFonts w:ascii="Arial" w:cs="Arial" w:eastAsia="Arial" w:hAnsi="Arial"/>
          <w:b/>
          <w:bCs/>
          <w:color w:val="333333"/>
          <w:sz w:val="22"/>
          <w:szCs w:val="22"/>
        </w:rPr>
        <w:t xml:space="preserve">AI Ethics Committee: </w:t>
      </w:r>
      <w:r>
        <w:rPr>
          <w:rFonts w:ascii="Arial" w:cs="Arial" w:eastAsia="Arial" w:hAnsi="Arial"/>
          <w:color w:val="333333"/>
          <w:sz w:val="22"/>
          <w:szCs w:val="22"/>
        </w:rPr>
        <w:t xml:space="preserve">Dependencies across Part III (agentic SDLC guardrails), Part VI (AI governance), Part VII (AI testing), and Part V (AI vendor assessment). This committee governs all AI-related governance decisions.</w:t>
      </w:r>
    </w:p>
    <w:p>
      <w:pPr>
        <w:pStyle w:val="ListParagraph"/>
        <w:numPr>
          <w:ilvl w:val="0"/>
          <w:numId w:val="2"/>
        </w:numPr>
        <w:spacing w:before="40" w:after="40"/>
      </w:pPr>
      <w:r>
        <w:rPr>
          <w:rFonts w:ascii="Arial" w:cs="Arial" w:eastAsia="Arial" w:hAnsi="Arial"/>
          <w:b/>
          <w:bCs/>
          <w:color w:val="333333"/>
          <w:sz w:val="22"/>
          <w:szCs w:val="22"/>
        </w:rPr>
        <w:t xml:space="preserve">Release Management Authority: </w:t>
      </w:r>
      <w:r>
        <w:rPr>
          <w:rFonts w:ascii="Arial" w:cs="Arial" w:eastAsia="Arial" w:hAnsi="Arial"/>
          <w:color w:val="333333"/>
          <w:sz w:val="22"/>
          <w:szCs w:val="22"/>
        </w:rPr>
        <w:t xml:space="preserve">Dependencies across Part III (deployment automation), Part IV (security gates), Part VII (quality gates), Part VIII (standards compliance), and Part IX (change management).</w:t>
      </w:r>
    </w:p>
    <w:p>
      <w:pPr>
        <w:pStyle w:val="ListParagraph"/>
        <w:numPr>
          <w:ilvl w:val="0"/>
          <w:numId w:val="2"/>
        </w:numPr>
        <w:spacing w:before="40" w:after="40"/>
      </w:pPr>
      <w:r>
        <w:rPr>
          <w:rFonts w:ascii="Arial" w:cs="Arial" w:eastAsia="Arial" w:hAnsi="Arial"/>
          <w:b/>
          <w:bCs/>
          <w:color w:val="333333"/>
          <w:sz w:val="22"/>
          <w:szCs w:val="22"/>
        </w:rPr>
        <w:t xml:space="preserve">Portfolio Investment Board: </w:t>
      </w:r>
      <w:r>
        <w:rPr>
          <w:rFonts w:ascii="Arial" w:cs="Arial" w:eastAsia="Arial" w:hAnsi="Arial"/>
          <w:color w:val="333333"/>
          <w:sz w:val="22"/>
          <w:szCs w:val="22"/>
        </w:rPr>
        <w:t xml:space="preserve">Dependencies across Parts I–II (strategic alignment), Part V (vendor investment), Part X (acceleration funding), and Part XI (ROI measurement and portfolio optimization).</w:t>
      </w:r>
    </w:p>
    <w:p>
      <w:pPr>
        <w:pStyle w:val="Heading3"/>
        <w:spacing w:before="200" w:after="120"/>
      </w:pPr>
      <w:r>
        <w:rPr>
          <w:rFonts w:ascii="Arial" w:cs="Arial" w:eastAsia="Arial" w:hAnsi="Arial"/>
          <w:b/>
          <w:bCs/>
          <w:color w:val="2C3E50"/>
          <w:sz w:val="24"/>
          <w:szCs w:val="24"/>
        </w:rPr>
        <w:t xml:space="preserve">XII.4.3 — Staffing and Skills Gap Analysis Framework</w:t>
      </w:r>
    </w:p>
    <w:p>
      <w:pPr>
        <w:spacing w:before="80" w:after="80"/>
        <w:jc w:val="left"/>
      </w:pPr>
      <w:r>
        <w:rPr>
          <w:rFonts w:ascii="Arial" w:cs="Arial" w:eastAsia="Arial" w:hAnsi="Arial"/>
          <w:b w:val="false"/>
          <w:bCs w:val="false"/>
          <w:i w:val="false"/>
          <w:iCs w:val="false"/>
          <w:color w:val="333333"/>
          <w:sz w:val="22"/>
          <w:szCs w:val="22"/>
        </w:rPr>
        <w:t xml:space="preserve">Organizations shall conduct a formal skills gap analysis as a prerequisite to framework implementation. The analysis covers six capability domains:</w:t>
      </w:r>
    </w:p>
    <w:p>
      <w:pPr>
        <w:pStyle w:val="ListParagraph"/>
        <w:numPr>
          <w:ilvl w:val="0"/>
          <w:numId w:val="4"/>
        </w:numPr>
        <w:spacing w:before="40" w:after="40"/>
      </w:pPr>
      <w:r>
        <w:rPr>
          <w:rFonts w:ascii="Arial" w:cs="Arial" w:eastAsia="Arial" w:hAnsi="Arial"/>
          <w:color w:val="333333"/>
          <w:sz w:val="22"/>
          <w:szCs w:val="22"/>
        </w:rPr>
        <w:t xml:space="preserve">Governance Engineering: Ability to design, implement, and operate governance automation including policy-as-code, compliance-as-code, and governance pipeline integration. Target ratio: 1 governance engineer per 50 developers.</w:t>
      </w:r>
    </w:p>
    <w:p>
      <w:pPr>
        <w:pStyle w:val="ListParagraph"/>
        <w:numPr>
          <w:ilvl w:val="0"/>
          <w:numId w:val="4"/>
        </w:numPr>
        <w:spacing w:before="40" w:after="40"/>
      </w:pPr>
      <w:r>
        <w:rPr>
          <w:rFonts w:ascii="Arial" w:cs="Arial" w:eastAsia="Arial" w:hAnsi="Arial"/>
          <w:color w:val="333333"/>
          <w:sz w:val="22"/>
          <w:szCs w:val="22"/>
        </w:rPr>
        <w:t xml:space="preserve">AI/ML Operations: Expertise in model lifecycle management, ML pipeline operations, AI safety testing, and responsible AI practices. Target ratio: 1 MLOps engineer per 10 production models.</w:t>
      </w:r>
    </w:p>
    <w:p>
      <w:pPr>
        <w:pStyle w:val="ListParagraph"/>
        <w:numPr>
          <w:ilvl w:val="0"/>
          <w:numId w:val="4"/>
        </w:numPr>
        <w:spacing w:before="40" w:after="40"/>
      </w:pPr>
      <w:r>
        <w:rPr>
          <w:rFonts w:ascii="Arial" w:cs="Arial" w:eastAsia="Arial" w:hAnsi="Arial"/>
          <w:color w:val="333333"/>
          <w:sz w:val="22"/>
          <w:szCs w:val="22"/>
        </w:rPr>
        <w:t xml:space="preserve">Security Architecture: Advanced capability in zero-trust architecture, supply chain security, cloud-native security, and AI security. Target ratio: 1 security architect per 200 developers.</w:t>
      </w:r>
    </w:p>
    <w:p>
      <w:pPr>
        <w:pStyle w:val="ListParagraph"/>
        <w:numPr>
          <w:ilvl w:val="0"/>
          <w:numId w:val="4"/>
        </w:numPr>
        <w:spacing w:before="40" w:after="40"/>
      </w:pPr>
      <w:r>
        <w:rPr>
          <w:rFonts w:ascii="Arial" w:cs="Arial" w:eastAsia="Arial" w:hAnsi="Arial"/>
          <w:color w:val="333333"/>
          <w:sz w:val="22"/>
          <w:szCs w:val="22"/>
        </w:rPr>
        <w:t xml:space="preserve">Data Governance: Skills in data classification, privacy engineering, data quality management, and regulatory compliance. Target ratio: 1 data governance specialist per 3 data domains.</w:t>
      </w:r>
    </w:p>
    <w:p>
      <w:pPr>
        <w:pStyle w:val="ListParagraph"/>
        <w:numPr>
          <w:ilvl w:val="0"/>
          <w:numId w:val="4"/>
        </w:numPr>
        <w:spacing w:before="40" w:after="40"/>
      </w:pPr>
      <w:r>
        <w:rPr>
          <w:rFonts w:ascii="Arial" w:cs="Arial" w:eastAsia="Arial" w:hAnsi="Arial"/>
          <w:color w:val="333333"/>
          <w:sz w:val="22"/>
          <w:szCs w:val="22"/>
        </w:rPr>
        <w:t xml:space="preserve">Change Management: Competency in organizational change management, communication strategy, training design, and adoption measurement. Target ratio: 1 change manager per 500 affected users.</w:t>
      </w:r>
    </w:p>
    <w:p>
      <w:pPr>
        <w:pStyle w:val="ListParagraph"/>
        <w:numPr>
          <w:ilvl w:val="0"/>
          <w:numId w:val="4"/>
        </w:numPr>
        <w:spacing w:before="40" w:after="40"/>
      </w:pPr>
      <w:r>
        <w:rPr>
          <w:rFonts w:ascii="Arial" w:cs="Arial" w:eastAsia="Arial" w:hAnsi="Arial"/>
          <w:color w:val="333333"/>
          <w:sz w:val="22"/>
          <w:szCs w:val="22"/>
        </w:rPr>
        <w:t xml:space="preserve">Platform Engineering: Capability to build and maintain internal developer platforms, self-service governance tooling, and developer experience optimization. Target ratio: 1 platform engineer per 30 developers.</w:t>
      </w:r>
    </w:p>
    <w:p>
      <w:r>
        <w:br w:type="page"/>
      </w:r>
    </w:p>
    <w:p>
      <w:pPr>
        <w:pStyle w:val="Heading2"/>
        <w:spacing w:before="280" w:after="160"/>
      </w:pPr>
      <w:r>
        <w:rPr>
          <w:rFonts w:ascii="Arial" w:cs="Arial" w:eastAsia="Arial" w:hAnsi="Arial"/>
          <w:b/>
          <w:bCs/>
          <w:color w:val="2E75B6"/>
          <w:sz w:val="28"/>
          <w:szCs w:val="28"/>
        </w:rPr>
        <w:t xml:space="preserve">XII.5 — Regulatory and Compliance Dependencies</w:t>
      </w:r>
    </w:p>
    <w:p>
      <w:pPr>
        <w:pStyle w:val="Heading3"/>
        <w:spacing w:before="200" w:after="120"/>
      </w:pPr>
      <w:r>
        <w:rPr>
          <w:rFonts w:ascii="Arial" w:cs="Arial" w:eastAsia="Arial" w:hAnsi="Arial"/>
          <w:b/>
          <w:bCs/>
          <w:color w:val="2C3E50"/>
          <w:sz w:val="24"/>
          <w:szCs w:val="24"/>
        </w:rPr>
        <w:t xml:space="preserve">XII.5.1 — Regulatory Landscape Mapping</w:t>
      </w:r>
    </w:p>
    <w:p>
      <w:pPr>
        <w:spacing w:before="80" w:after="80"/>
        <w:jc w:val="left"/>
      </w:pPr>
      <w:r>
        <w:rPr>
          <w:rFonts w:ascii="Arial" w:cs="Arial" w:eastAsia="Arial" w:hAnsi="Arial"/>
          <w:b w:val="false"/>
          <w:bCs w:val="false"/>
          <w:i w:val="false"/>
          <w:iCs w:val="false"/>
          <w:color w:val="333333"/>
          <w:sz w:val="22"/>
          <w:szCs w:val="22"/>
        </w:rPr>
        <w:t xml:space="preserve">The governance framework operates within a complex and evolving regulatory environment. Each regulatory requirement creates dependencies across multiple framework parts. The following mapping identifies the primary regulatory influences and their cross-framework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Regulation/Standard</w:t>
            </w:r>
          </w:p>
        </w:tc>
        <w:tc>
          <w:tcPr>
            <w:tcW w:type="dxa" w:w="2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Impact Areas</w:t>
            </w:r>
          </w:p>
        </w:tc>
        <w:tc>
          <w:tcPr>
            <w:tcW w:type="dxa" w:w="2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 Parts Affected</w:t>
            </w:r>
          </w:p>
        </w:tc>
        <w:tc>
          <w:tcPr>
            <w:tcW w:type="dxa" w:w="23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Frequency</w:t>
            </w:r>
          </w:p>
        </w:tc>
      </w:tr>
      <w:tr>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EU AI Act</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risk classification, transparency, human oversight, conformity assessment</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 VII, V</w:t>
            </w:r>
          </w:p>
        </w:tc>
        <w:tc>
          <w:tcPr>
            <w:tcW w:type="dxa" w:w="23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 (phased enforcement through 2027)</w:t>
            </w:r>
          </w:p>
        </w:tc>
      </w:tr>
      <w:tr>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NIST AI RMF</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risk management, governance, mapping, measurement</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 XI</w:t>
            </w:r>
          </w:p>
        </w:tc>
        <w:tc>
          <w:tcPr>
            <w:tcW w:type="dxa" w:w="23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Periodic (updates every 2–3 years)</w:t>
            </w:r>
          </w:p>
        </w:tc>
      </w:tr>
      <w:tr>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NIST CSF 2.0</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Cybersecurity governance, risk, detection, response</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 XI</w:t>
            </w:r>
          </w:p>
        </w:tc>
        <w:tc>
          <w:tcPr>
            <w:tcW w:type="dxa" w:w="23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Periodic (major revision cycle 5–7 years)</w:t>
            </w:r>
          </w:p>
        </w:tc>
      </w:tr>
      <w:tr>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SOC 2 Type II</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 availability, processing integrity, confidentiality, privacy</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 XI</w:t>
            </w:r>
          </w:p>
        </w:tc>
        <w:tc>
          <w:tcPr>
            <w:tcW w:type="dxa" w:w="23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 audit cycle</w:t>
            </w:r>
          </w:p>
        </w:tc>
      </w:tr>
      <w:tr>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GDPR/Privacy Laws</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protection, privacy by design, data subject rights, cross-border transfer</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VI, VIII, IX</w:t>
            </w:r>
          </w:p>
        </w:tc>
        <w:tc>
          <w:tcPr>
            <w:tcW w:type="dxa" w:w="23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 (enforcement guidance evolving)</w:t>
            </w:r>
          </w:p>
        </w:tc>
      </w:tr>
      <w:tr>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PCI DSS 4.0</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data security, access control, monitoring, testing</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IX</w:t>
            </w:r>
          </w:p>
        </w:tc>
        <w:tc>
          <w:tcPr>
            <w:tcW w:type="dxa" w:w="23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3-year major revision cycle</w:t>
            </w:r>
          </w:p>
        </w:tc>
      </w:tr>
      <w:tr>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HIPAA/HITECH</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 data protection, security, breach notification</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w:t>
            </w:r>
          </w:p>
        </w:tc>
        <w:tc>
          <w:tcPr>
            <w:tcW w:type="dxa" w:w="23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Periodic updates</w:t>
            </w:r>
          </w:p>
        </w:tc>
      </w:tr>
      <w:tr>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ISO 42001</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management system, risk, responsible AI</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 XI</w:t>
            </w:r>
          </w:p>
        </w:tc>
        <w:tc>
          <w:tcPr>
            <w:tcW w:type="dxa" w:w="23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5-year revision cycle</w:t>
            </w:r>
          </w:p>
        </w:tc>
      </w:tr>
      <w:tr>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ISO 27001:2022</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Information security management system</w:t>
            </w:r>
          </w:p>
        </w:tc>
        <w:tc>
          <w:tcPr>
            <w:tcW w:type="dxa" w:w="2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 XI</w:t>
            </w:r>
          </w:p>
        </w:tc>
        <w:tc>
          <w:tcPr>
            <w:tcW w:type="dxa" w:w="23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5-year revision cycle</w:t>
            </w:r>
          </w:p>
        </w:tc>
      </w:tr>
      <w:tr>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State AI Laws (US)</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disclosure, bias prevention, employment AI restrictions</w:t>
            </w:r>
          </w:p>
        </w:tc>
        <w:tc>
          <w:tcPr>
            <w:tcW w:type="dxa" w:w="2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 VII</w:t>
            </w:r>
          </w:p>
        </w:tc>
        <w:tc>
          <w:tcPr>
            <w:tcW w:type="dxa" w:w="23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 (rapid legislative activity)</w:t>
            </w:r>
          </w:p>
        </w:tc>
      </w:tr>
    </w:tbl>
    <w:p>
      <w:pPr>
        <w:pStyle w:val="Heading3"/>
        <w:spacing w:before="200" w:after="120"/>
      </w:pPr>
      <w:r>
        <w:rPr>
          <w:rFonts w:ascii="Arial" w:cs="Arial" w:eastAsia="Arial" w:hAnsi="Arial"/>
          <w:b/>
          <w:bCs/>
          <w:color w:val="2C3E50"/>
          <w:sz w:val="24"/>
          <w:szCs w:val="24"/>
        </w:rPr>
        <w:t xml:space="preserve">XII.5.2 — Regulatory Change Management Process</w:t>
      </w:r>
    </w:p>
    <w:p>
      <w:pPr>
        <w:spacing w:before="80" w:after="80"/>
        <w:jc w:val="left"/>
      </w:pPr>
      <w:r>
        <w:rPr>
          <w:rFonts w:ascii="Arial" w:cs="Arial" w:eastAsia="Arial" w:hAnsi="Arial"/>
          <w:b w:val="false"/>
          <w:bCs w:val="false"/>
          <w:i w:val="false"/>
          <w:iCs w:val="false"/>
          <w:color w:val="333333"/>
          <w:sz w:val="22"/>
          <w:szCs w:val="22"/>
        </w:rPr>
        <w:t xml:space="preserve">Given the rapid evolution of AI and cybersecurity regulation, the organization shall implement a structured regulatory change management process:</w:t>
      </w:r>
    </w:p>
    <w:p>
      <w:pPr>
        <w:pStyle w:val="ListParagraph"/>
        <w:numPr>
          <w:ilvl w:val="0"/>
          <w:numId w:val="5"/>
        </w:numPr>
        <w:spacing w:before="40" w:after="40"/>
      </w:pPr>
      <w:r>
        <w:rPr>
          <w:rFonts w:ascii="Arial" w:cs="Arial" w:eastAsia="Arial" w:hAnsi="Arial"/>
          <w:color w:val="333333"/>
          <w:sz w:val="22"/>
          <w:szCs w:val="22"/>
        </w:rPr>
        <w:t xml:space="preserve">Horizon Scanning: Automated monitoring of regulatory developments across all jurisdictions in which the organization operates, with AI-assisted impact classification and relevance scoring.</w:t>
      </w:r>
    </w:p>
    <w:p>
      <w:pPr>
        <w:pStyle w:val="ListParagraph"/>
        <w:numPr>
          <w:ilvl w:val="0"/>
          <w:numId w:val="5"/>
        </w:numPr>
        <w:spacing w:before="40" w:after="40"/>
      </w:pPr>
      <w:r>
        <w:rPr>
          <w:rFonts w:ascii="Arial" w:cs="Arial" w:eastAsia="Arial" w:hAnsi="Arial"/>
          <w:color w:val="333333"/>
          <w:sz w:val="22"/>
          <w:szCs w:val="22"/>
        </w:rPr>
        <w:t xml:space="preserve">Impact Assessment: Within 30 days of identifying a relevant regulatory change, conduct a formal impact assessment that maps the change to affected framework parts using the dependency matrix.</w:t>
      </w:r>
    </w:p>
    <w:p>
      <w:pPr>
        <w:pStyle w:val="ListParagraph"/>
        <w:numPr>
          <w:ilvl w:val="0"/>
          <w:numId w:val="5"/>
        </w:numPr>
        <w:spacing w:before="40" w:after="40"/>
      </w:pPr>
      <w:r>
        <w:rPr>
          <w:rFonts w:ascii="Arial" w:cs="Arial" w:eastAsia="Arial" w:hAnsi="Arial"/>
          <w:color w:val="333333"/>
          <w:sz w:val="22"/>
          <w:szCs w:val="22"/>
        </w:rPr>
        <w:t xml:space="preserve">Gap Analysis: Within 60 days, complete a gap analysis identifying specific framework modifications required to achieve compliance.</w:t>
      </w:r>
    </w:p>
    <w:p>
      <w:pPr>
        <w:pStyle w:val="ListParagraph"/>
        <w:numPr>
          <w:ilvl w:val="0"/>
          <w:numId w:val="5"/>
        </w:numPr>
        <w:spacing w:before="40" w:after="40"/>
      </w:pPr>
      <w:r>
        <w:rPr>
          <w:rFonts w:ascii="Arial" w:cs="Arial" w:eastAsia="Arial" w:hAnsi="Arial"/>
          <w:color w:val="333333"/>
          <w:sz w:val="22"/>
          <w:szCs w:val="22"/>
        </w:rPr>
        <w:t xml:space="preserve">Remediation Planning: Develop a prioritized remediation plan with specific timelines, resource requirements, and accountability assignments.</w:t>
      </w:r>
    </w:p>
    <w:p>
      <w:pPr>
        <w:pStyle w:val="ListParagraph"/>
        <w:numPr>
          <w:ilvl w:val="0"/>
          <w:numId w:val="5"/>
        </w:numPr>
        <w:spacing w:before="40" w:after="40"/>
      </w:pPr>
      <w:r>
        <w:rPr>
          <w:rFonts w:ascii="Arial" w:cs="Arial" w:eastAsia="Arial" w:hAnsi="Arial"/>
          <w:color w:val="333333"/>
          <w:sz w:val="22"/>
          <w:szCs w:val="22"/>
        </w:rPr>
        <w:t xml:space="preserve">Framework Update: Execute framework modifications through the standard change management process defined in Section XII.8, including cross-part dependency testing.</w:t>
      </w:r>
    </w:p>
    <w:p>
      <w:pPr>
        <w:pStyle w:val="ListParagraph"/>
        <w:numPr>
          <w:ilvl w:val="0"/>
          <w:numId w:val="5"/>
        </w:numPr>
        <w:spacing w:before="40" w:after="40"/>
      </w:pPr>
      <w:r>
        <w:rPr>
          <w:rFonts w:ascii="Arial" w:cs="Arial" w:eastAsia="Arial" w:hAnsi="Arial"/>
          <w:color w:val="333333"/>
          <w:sz w:val="22"/>
          <w:szCs w:val="22"/>
        </w:rPr>
        <w:t xml:space="preserve">Compliance Validation: Conduct compliance testing to verify that framework updates achieve regulatory alignment, documented through the compliance evidence management system.</w:t>
      </w:r>
    </w:p>
    <w:p>
      <w:pPr>
        <w:pStyle w:val="ListParagraph"/>
        <w:numPr>
          <w:ilvl w:val="0"/>
          <w:numId w:val="5"/>
        </w:numPr>
        <w:spacing w:before="40" w:after="40"/>
      </w:pPr>
      <w:r>
        <w:rPr>
          <w:rFonts w:ascii="Arial" w:cs="Arial" w:eastAsia="Arial" w:hAnsi="Arial"/>
          <w:color w:val="333333"/>
          <w:sz w:val="22"/>
          <w:szCs w:val="22"/>
        </w:rPr>
        <w:t xml:space="preserve">Audit Readiness: Update audit evidence packages and compliance documentation within 90 days of framework modification.</w:t>
      </w:r>
    </w:p>
    <w:p>
      <w:pPr>
        <w:pStyle w:val="Heading3"/>
        <w:spacing w:before="200" w:after="120"/>
      </w:pPr>
      <w:r>
        <w:rPr>
          <w:rFonts w:ascii="Arial" w:cs="Arial" w:eastAsia="Arial" w:hAnsi="Arial"/>
          <w:b/>
          <w:bCs/>
          <w:color w:val="2C3E50"/>
          <w:sz w:val="24"/>
          <w:szCs w:val="24"/>
        </w:rPr>
        <w:t xml:space="preserve">XII.5.3 — Compliance Dependency Chain</w:t>
      </w:r>
    </w:p>
    <w:p>
      <w:pPr>
        <w:spacing w:before="80" w:after="80"/>
        <w:jc w:val="left"/>
      </w:pPr>
      <w:r>
        <w:rPr>
          <w:rFonts w:ascii="Arial" w:cs="Arial" w:eastAsia="Arial" w:hAnsi="Arial"/>
          <w:b w:val="false"/>
          <w:bCs w:val="false"/>
          <w:i w:val="false"/>
          <w:iCs w:val="false"/>
          <w:color w:val="333333"/>
          <w:sz w:val="22"/>
          <w:szCs w:val="22"/>
        </w:rPr>
        <w:t xml:space="preserve">Regulatory compliance creates cascading dependencies that must be managed as integrated chains rather than isolated requirements. The four primary compliance chains are:</w:t>
      </w:r>
    </w:p>
    <w:p>
      <w:pPr>
        <w:pStyle w:val="ListParagraph"/>
        <w:numPr>
          <w:ilvl w:val="0"/>
          <w:numId w:val="2"/>
        </w:numPr>
        <w:spacing w:before="40" w:after="40"/>
      </w:pPr>
      <w:r>
        <w:rPr>
          <w:rFonts w:ascii="Arial" w:cs="Arial" w:eastAsia="Arial" w:hAnsi="Arial"/>
          <w:b/>
          <w:bCs/>
          <w:color w:val="333333"/>
          <w:sz w:val="22"/>
          <w:szCs w:val="22"/>
        </w:rPr>
        <w:t xml:space="preserve">AI Compliance Chain: </w:t>
      </w:r>
      <w:r>
        <w:rPr>
          <w:rFonts w:ascii="Arial" w:cs="Arial" w:eastAsia="Arial" w:hAnsi="Arial"/>
          <w:color w:val="333333"/>
          <w:sz w:val="22"/>
          <w:szCs w:val="22"/>
        </w:rPr>
        <w:t xml:space="preserve">EU AI Act risk classification → AI governance controls (Part VI) → AI testing requirements (Part VII) → Agentic SDLC guardrails (Part III) → Vendor AI assessment (Part V) → Operational AI monitoring (Part IX) → Compliance evidence and reporting (Part XI).</w:t>
      </w:r>
    </w:p>
    <w:p>
      <w:pPr>
        <w:pStyle w:val="ListParagraph"/>
        <w:numPr>
          <w:ilvl w:val="0"/>
          <w:numId w:val="2"/>
        </w:numPr>
        <w:spacing w:before="40" w:after="40"/>
      </w:pPr>
      <w:r>
        <w:rPr>
          <w:rFonts w:ascii="Arial" w:cs="Arial" w:eastAsia="Arial" w:hAnsi="Arial"/>
          <w:b/>
          <w:bCs/>
          <w:color w:val="333333"/>
          <w:sz w:val="22"/>
          <w:szCs w:val="22"/>
        </w:rPr>
        <w:t xml:space="preserve">Data Protection Chain: </w:t>
      </w:r>
      <w:r>
        <w:rPr>
          <w:rFonts w:ascii="Arial" w:cs="Arial" w:eastAsia="Arial" w:hAnsi="Arial"/>
          <w:color w:val="333333"/>
          <w:sz w:val="22"/>
          <w:szCs w:val="22"/>
        </w:rPr>
        <w:t xml:space="preserve">GDPR/privacy law requirements → Data classification and handling standards (Part VIII) → Security controls and encryption (Part IV) → Third-party data processing agreements (Part V) → Operational data monitoring (Part IX) → Privacy metrics and reporting (Part XI).</w:t>
      </w:r>
    </w:p>
    <w:p>
      <w:pPr>
        <w:pStyle w:val="ListParagraph"/>
        <w:numPr>
          <w:ilvl w:val="0"/>
          <w:numId w:val="2"/>
        </w:numPr>
        <w:spacing w:before="40" w:after="40"/>
      </w:pPr>
      <w:r>
        <w:rPr>
          <w:rFonts w:ascii="Arial" w:cs="Arial" w:eastAsia="Arial" w:hAnsi="Arial"/>
          <w:b/>
          <w:bCs/>
          <w:color w:val="333333"/>
          <w:sz w:val="22"/>
          <w:szCs w:val="22"/>
        </w:rPr>
        <w:t xml:space="preserve">Security Compliance Chain: </w:t>
      </w:r>
      <w:r>
        <w:rPr>
          <w:rFonts w:ascii="Arial" w:cs="Arial" w:eastAsia="Arial" w:hAnsi="Arial"/>
          <w:color w:val="333333"/>
          <w:sz w:val="22"/>
          <w:szCs w:val="22"/>
        </w:rPr>
        <w:t xml:space="preserve">SOC 2/ISO 27001 requirements → Security architecture and controls (Part IV) → Secure development standards (Part VIII) → Security testing and validation (Part VII) → Vendor security requirements (Part V) → Security operations and monitoring (Part IX).</w:t>
      </w:r>
    </w:p>
    <w:p>
      <w:pPr>
        <w:pStyle w:val="ListParagraph"/>
        <w:numPr>
          <w:ilvl w:val="0"/>
          <w:numId w:val="2"/>
        </w:numPr>
        <w:spacing w:before="40" w:after="40"/>
      </w:pPr>
      <w:r>
        <w:rPr>
          <w:rFonts w:ascii="Arial" w:cs="Arial" w:eastAsia="Arial" w:hAnsi="Arial"/>
          <w:b/>
          <w:bCs/>
          <w:color w:val="333333"/>
          <w:sz w:val="22"/>
          <w:szCs w:val="22"/>
        </w:rPr>
        <w:t xml:space="preserve">Industry-Specific Chain: </w:t>
      </w:r>
      <w:r>
        <w:rPr>
          <w:rFonts w:ascii="Arial" w:cs="Arial" w:eastAsia="Arial" w:hAnsi="Arial"/>
          <w:color w:val="333333"/>
          <w:sz w:val="22"/>
          <w:szCs w:val="22"/>
        </w:rPr>
        <w:t xml:space="preserve">Sector regulations (PCI DSS, HIPAA, etc.) → Domain-specific controls across all relevant parts → Industry-specific testing requirements → Specialized vendor requirements → Sector compliance reporting.</w:t>
      </w:r>
    </w:p>
    <w:p>
      <w:r>
        <w:br w:type="page"/>
      </w:r>
    </w:p>
    <w:p>
      <w:pPr>
        <w:pStyle w:val="Heading2"/>
        <w:spacing w:before="280" w:after="160"/>
      </w:pPr>
      <w:r>
        <w:rPr>
          <w:rFonts w:ascii="Arial" w:cs="Arial" w:eastAsia="Arial" w:hAnsi="Arial"/>
          <w:b/>
          <w:bCs/>
          <w:color w:val="2E75B6"/>
          <w:sz w:val="28"/>
          <w:szCs w:val="28"/>
        </w:rPr>
        <w:t xml:space="preserve">XII.6 — Continuous Improvement Framework</w:t>
      </w:r>
    </w:p>
    <w:p>
      <w:pPr>
        <w:pStyle w:val="Heading3"/>
        <w:spacing w:before="200" w:after="120"/>
      </w:pPr>
      <w:r>
        <w:rPr>
          <w:rFonts w:ascii="Arial" w:cs="Arial" w:eastAsia="Arial" w:hAnsi="Arial"/>
          <w:b/>
          <w:bCs/>
          <w:color w:val="2C3E50"/>
          <w:sz w:val="24"/>
          <w:szCs w:val="24"/>
        </w:rPr>
        <w:t xml:space="preserve">XII.6.1 — Improvement Philosophy and Principles</w:t>
      </w:r>
    </w:p>
    <w:p>
      <w:pPr>
        <w:spacing w:before="80" w:after="80"/>
        <w:jc w:val="left"/>
      </w:pPr>
      <w:r>
        <w:rPr>
          <w:rFonts w:ascii="Arial" w:cs="Arial" w:eastAsia="Arial" w:hAnsi="Arial"/>
          <w:b w:val="false"/>
          <w:bCs w:val="false"/>
          <w:i w:val="false"/>
          <w:iCs w:val="false"/>
          <w:color w:val="333333"/>
          <w:sz w:val="22"/>
          <w:szCs w:val="22"/>
        </w:rPr>
        <w:t xml:space="preserve">The continuous improvement framework operates on the principle that governance must evolve at the pace of the technology and business landscape it governs. Static governance frameworks become constraints rather than enablers. The improvement architecture is built on five foundational principles:</w:t>
      </w:r>
    </w:p>
    <w:p>
      <w:pPr>
        <w:pStyle w:val="ListParagraph"/>
        <w:numPr>
          <w:ilvl w:val="0"/>
          <w:numId w:val="2"/>
        </w:numPr>
        <w:spacing w:before="40" w:after="40"/>
      </w:pPr>
      <w:r>
        <w:rPr>
          <w:rFonts w:ascii="Arial" w:cs="Arial" w:eastAsia="Arial" w:hAnsi="Arial"/>
          <w:b/>
          <w:bCs/>
          <w:color w:val="333333"/>
          <w:sz w:val="22"/>
          <w:szCs w:val="22"/>
        </w:rPr>
        <w:t xml:space="preserve">Evidence-Driven Improvement: </w:t>
      </w:r>
      <w:r>
        <w:rPr>
          <w:rFonts w:ascii="Arial" w:cs="Arial" w:eastAsia="Arial" w:hAnsi="Arial"/>
          <w:color w:val="333333"/>
          <w:sz w:val="22"/>
          <w:szCs w:val="22"/>
        </w:rPr>
        <w:t xml:space="preserve">All improvement initiatives must be grounded in quantitative data from the measurement framework (Part XI), incident retrospectives, audit findings, or structured stakeholder feedback. Subjective improvement proposals require validation through pilot programs before enterprise adoption.</w:t>
      </w:r>
    </w:p>
    <w:p>
      <w:pPr>
        <w:pStyle w:val="ListParagraph"/>
        <w:numPr>
          <w:ilvl w:val="0"/>
          <w:numId w:val="2"/>
        </w:numPr>
        <w:spacing w:before="40" w:after="40"/>
      </w:pPr>
      <w:r>
        <w:rPr>
          <w:rFonts w:ascii="Arial" w:cs="Arial" w:eastAsia="Arial" w:hAnsi="Arial"/>
          <w:b/>
          <w:bCs/>
          <w:color w:val="333333"/>
          <w:sz w:val="22"/>
          <w:szCs w:val="22"/>
        </w:rPr>
        <w:t xml:space="preserve">Bounded Experimentation: </w:t>
      </w:r>
      <w:r>
        <w:rPr>
          <w:rFonts w:ascii="Arial" w:cs="Arial" w:eastAsia="Arial" w:hAnsi="Arial"/>
          <w:color w:val="333333"/>
          <w:sz w:val="22"/>
          <w:szCs w:val="22"/>
        </w:rPr>
        <w:t xml:space="preserve">Improvement hypotheses are tested through time-boxed experiments with clear success criteria, rollback plans, and blast radius limitations. Governance experimentation follows the same risk-managed approach as feature experimentation in the SDLC.</w:t>
      </w:r>
    </w:p>
    <w:p>
      <w:pPr>
        <w:pStyle w:val="ListParagraph"/>
        <w:numPr>
          <w:ilvl w:val="0"/>
          <w:numId w:val="2"/>
        </w:numPr>
        <w:spacing w:before="40" w:after="40"/>
      </w:pPr>
      <w:r>
        <w:rPr>
          <w:rFonts w:ascii="Arial" w:cs="Arial" w:eastAsia="Arial" w:hAnsi="Arial"/>
          <w:b/>
          <w:bCs/>
          <w:color w:val="333333"/>
          <w:sz w:val="22"/>
          <w:szCs w:val="22"/>
        </w:rPr>
        <w:t xml:space="preserve">Cross-Framework Coherence: </w:t>
      </w:r>
      <w:r>
        <w:rPr>
          <w:rFonts w:ascii="Arial" w:cs="Arial" w:eastAsia="Arial" w:hAnsi="Arial"/>
          <w:color w:val="333333"/>
          <w:sz w:val="22"/>
          <w:szCs w:val="22"/>
        </w:rPr>
        <w:t xml:space="preserve">Improvements to any single part must be evaluated for cross-framework impact using the dependency map (Section XII.2). No improvement is adopted that creates inconsistency or regression in dependent parts.</w:t>
      </w:r>
    </w:p>
    <w:p>
      <w:pPr>
        <w:pStyle w:val="ListParagraph"/>
        <w:numPr>
          <w:ilvl w:val="0"/>
          <w:numId w:val="2"/>
        </w:numPr>
        <w:spacing w:before="40" w:after="40"/>
      </w:pPr>
      <w:r>
        <w:rPr>
          <w:rFonts w:ascii="Arial" w:cs="Arial" w:eastAsia="Arial" w:hAnsi="Arial"/>
          <w:b/>
          <w:bCs/>
          <w:color w:val="333333"/>
          <w:sz w:val="22"/>
          <w:szCs w:val="22"/>
        </w:rPr>
        <w:t xml:space="preserve">Value-First Prioritization: </w:t>
      </w:r>
      <w:r>
        <w:rPr>
          <w:rFonts w:ascii="Arial" w:cs="Arial" w:eastAsia="Arial" w:hAnsi="Arial"/>
          <w:color w:val="333333"/>
          <w:sz w:val="22"/>
          <w:szCs w:val="22"/>
        </w:rPr>
        <w:t xml:space="preserve">Improvement initiatives are prioritized using the ROI framework (Part XI, Section XI.4), ensuring that improvement investments generate measurable value in reduced risk, increased velocity, improved quality, or enhanced compliance posture.</w:t>
      </w:r>
    </w:p>
    <w:p>
      <w:pPr>
        <w:pStyle w:val="ListParagraph"/>
        <w:numPr>
          <w:ilvl w:val="0"/>
          <w:numId w:val="2"/>
        </w:numPr>
        <w:spacing w:before="40" w:after="40"/>
      </w:pPr>
      <w:r>
        <w:rPr>
          <w:rFonts w:ascii="Arial" w:cs="Arial" w:eastAsia="Arial" w:hAnsi="Arial"/>
          <w:b/>
          <w:bCs/>
          <w:color w:val="333333"/>
          <w:sz w:val="22"/>
          <w:szCs w:val="22"/>
        </w:rPr>
        <w:t xml:space="preserve">Sustainable Pace: </w:t>
      </w:r>
      <w:r>
        <w:rPr>
          <w:rFonts w:ascii="Arial" w:cs="Arial" w:eastAsia="Arial" w:hAnsi="Arial"/>
          <w:color w:val="333333"/>
          <w:sz w:val="22"/>
          <w:szCs w:val="22"/>
        </w:rPr>
        <w:t xml:space="preserve">The organization limits the volume of concurrent governance changes to maintain operational stability. Maximum concurrent improvement initiatives are capped at 3 per framework part per quarter.</w:t>
      </w:r>
    </w:p>
    <w:p>
      <w:pPr>
        <w:pStyle w:val="Heading3"/>
        <w:spacing w:before="200" w:after="120"/>
      </w:pPr>
      <w:r>
        <w:rPr>
          <w:rFonts w:ascii="Arial" w:cs="Arial" w:eastAsia="Arial" w:hAnsi="Arial"/>
          <w:b/>
          <w:bCs/>
          <w:color w:val="2C3E50"/>
          <w:sz w:val="24"/>
          <w:szCs w:val="24"/>
        </w:rPr>
        <w:t xml:space="preserve">XII.6.2 — Eight-Cycle Improvement Architecture</w:t>
      </w:r>
    </w:p>
    <w:p>
      <w:pPr>
        <w:spacing w:before="80" w:after="80"/>
        <w:jc w:val="left"/>
      </w:pPr>
      <w:r>
        <w:rPr>
          <w:rFonts w:ascii="Arial" w:cs="Arial" w:eastAsia="Arial" w:hAnsi="Arial"/>
          <w:b w:val="false"/>
          <w:bCs w:val="false"/>
          <w:i w:val="false"/>
          <w:iCs w:val="false"/>
          <w:color w:val="333333"/>
          <w:sz w:val="22"/>
          <w:szCs w:val="22"/>
        </w:rPr>
        <w:t xml:space="preserve">The continuous improvement system operates through eight distinct improvement cycles, each operating at a different cadence and targeting different types of governance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2200"/>
        <w:gridCol w:w="2060"/>
      </w:tblGrid>
      <w:tr>
        <w:tc>
          <w:tcPr>
            <w:tcW w:type="dxa" w:w="1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Cycle</w:t>
            </w:r>
          </w:p>
        </w:tc>
        <w:tc>
          <w:tcPr>
            <w:tcW w:type="dxa" w:w="15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Cadence</w:t>
            </w:r>
          </w:p>
        </w:tc>
        <w:tc>
          <w:tcPr>
            <w:tcW w:type="dxa" w:w="24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W w:type="dxa" w:w="20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1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C1: Operational</w:t>
            </w:r>
          </w:p>
        </w:tc>
        <w:tc>
          <w:tcPr>
            <w:tcW w:type="dxa" w:w="1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Daily/Weekly</w:t>
            </w:r>
          </w:p>
        </w:tc>
        <w:tc>
          <w:tcPr>
            <w:tcW w:type="dxa" w:w="2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Pipeline gate effectiveness, tool performance, automation health</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CoE engineers, DevOps teams</w:t>
            </w:r>
          </w:p>
        </w:tc>
        <w:tc>
          <w:tcPr>
            <w:tcW w:type="dxa" w:w="20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Configuration adjustments, tool tuning</w:t>
            </w:r>
          </w:p>
        </w:tc>
      </w:tr>
      <w:tr>
        <w:tc>
          <w:tcPr>
            <w:tcW w:type="dxa" w:w="1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C2: Sprint</w:t>
            </w:r>
          </w:p>
        </w:tc>
        <w:tc>
          <w:tcPr>
            <w:tcW w:type="dxa" w:w="1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Bi-weekly</w:t>
            </w:r>
          </w:p>
        </w:tc>
        <w:tc>
          <w:tcPr>
            <w:tcW w:type="dxa" w:w="2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friction points, developer experience, process bottlenecks</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Development teams, governance engineers</w:t>
            </w:r>
          </w:p>
        </w:tc>
        <w:tc>
          <w:tcPr>
            <w:tcW w:type="dxa" w:w="20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Process refinements, tooling improvements</w:t>
            </w:r>
          </w:p>
        </w:tc>
      </w:tr>
      <w:tr>
        <w:tc>
          <w:tcPr>
            <w:tcW w:type="dxa" w:w="1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C3: Monthly</w:t>
            </w:r>
          </w:p>
        </w:tc>
        <w:tc>
          <w:tcPr>
            <w:tcW w:type="dxa" w:w="1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2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KPI trends, compliance posture, risk indicators, incident patterns</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CoE leadership, domain leads</w:t>
            </w:r>
          </w:p>
        </w:tc>
        <w:tc>
          <w:tcPr>
            <w:tcW w:type="dxa" w:w="20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Policy adjustments, resource reallocation</w:t>
            </w:r>
          </w:p>
        </w:tc>
      </w:tr>
      <w:tr>
        <w:tc>
          <w:tcPr>
            <w:tcW w:type="dxa" w:w="1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C4: Quarterly</w:t>
            </w:r>
          </w:p>
        </w:tc>
        <w:tc>
          <w:tcPr>
            <w:tcW w:type="dxa" w:w="1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w:t>
            </w:r>
          </w:p>
        </w:tc>
        <w:tc>
          <w:tcPr>
            <w:tcW w:type="dxa" w:w="2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Framework effectiveness, maturity advancement, strategic alignment</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Council, executive sponsors</w:t>
            </w:r>
          </w:p>
        </w:tc>
        <w:tc>
          <w:tcPr>
            <w:tcW w:type="dxa" w:w="20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Framework updates, investment decisions</w:t>
            </w:r>
          </w:p>
        </w:tc>
      </w:tr>
      <w:tr>
        <w:tc>
          <w:tcPr>
            <w:tcW w:type="dxa" w:w="1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C5: Semi-Annual</w:t>
            </w:r>
          </w:p>
        </w:tc>
        <w:tc>
          <w:tcPr>
            <w:tcW w:type="dxa" w:w="1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Semi-annual</w:t>
            </w:r>
          </w:p>
        </w:tc>
        <w:tc>
          <w:tcPr>
            <w:tcW w:type="dxa" w:w="2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Technology stack evaluation, vendor assessment, skills gap analysis</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architecture, procurement</w:t>
            </w:r>
          </w:p>
        </w:tc>
        <w:tc>
          <w:tcPr>
            <w:tcW w:type="dxa" w:w="20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Technology roadmap updates</w:t>
            </w:r>
          </w:p>
        </w:tc>
      </w:tr>
      <w:tr>
        <w:tc>
          <w:tcPr>
            <w:tcW w:type="dxa" w:w="1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C6: Annual</w:t>
            </w:r>
          </w:p>
        </w:tc>
        <w:tc>
          <w:tcPr>
            <w:tcW w:type="dxa" w:w="1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w:t>
            </w:r>
          </w:p>
        </w:tc>
        <w:tc>
          <w:tcPr>
            <w:tcW w:type="dxa" w:w="2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Strategic governance review, regulatory landscape, multi-year roadmap</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Board/executive committee</w:t>
            </w:r>
          </w:p>
        </w:tc>
        <w:tc>
          <w:tcPr>
            <w:tcW w:type="dxa" w:w="20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 governance strategy, budget</w:t>
            </w:r>
          </w:p>
        </w:tc>
      </w:tr>
      <w:tr>
        <w:tc>
          <w:tcPr>
            <w:tcW w:type="dxa" w:w="1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C7: Event-Driven</w:t>
            </w:r>
          </w:p>
        </w:tc>
        <w:tc>
          <w:tcPr>
            <w:tcW w:type="dxa" w:w="15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 triggered</w:t>
            </w:r>
          </w:p>
        </w:tc>
        <w:tc>
          <w:tcPr>
            <w:tcW w:type="dxa" w:w="2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Major incidents, regulatory changes, M&amp;A events, technology disruptions</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Incident-specific response team</w:t>
            </w:r>
          </w:p>
        </w:tc>
        <w:tc>
          <w:tcPr>
            <w:tcW w:type="dxa" w:w="20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Emergency framework modifications</w:t>
            </w:r>
          </w:p>
        </w:tc>
      </w:tr>
      <w:tr>
        <w:tc>
          <w:tcPr>
            <w:tcW w:type="dxa" w:w="1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C8: Innovation</w:t>
            </w:r>
          </w:p>
        </w:tc>
        <w:tc>
          <w:tcPr>
            <w:tcW w:type="dxa" w:w="15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w:t>
            </w:r>
          </w:p>
        </w:tc>
        <w:tc>
          <w:tcPr>
            <w:tcW w:type="dxa" w:w="2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Emerging practices, AI advancement, industry evolution, research findings</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Innovation team, external advisors</w:t>
            </w:r>
          </w:p>
        </w:tc>
        <w:tc>
          <w:tcPr>
            <w:tcW w:type="dxa" w:w="20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Innovation pipeline, pilot proposals</w:t>
            </w:r>
          </w:p>
        </w:tc>
      </w:tr>
    </w:tbl>
    <w:p>
      <w:pPr>
        <w:pStyle w:val="Heading3"/>
        <w:spacing w:before="200" w:after="120"/>
      </w:pPr>
      <w:r>
        <w:rPr>
          <w:rFonts w:ascii="Arial" w:cs="Arial" w:eastAsia="Arial" w:hAnsi="Arial"/>
          <w:b/>
          <w:bCs/>
          <w:color w:val="2C3E50"/>
          <w:sz w:val="24"/>
          <w:szCs w:val="24"/>
        </w:rPr>
        <w:t xml:space="preserve">XII.6.3 — Improvement Intake and Prioritization</w:t>
      </w:r>
    </w:p>
    <w:p>
      <w:pPr>
        <w:spacing w:before="80" w:after="80"/>
        <w:jc w:val="left"/>
      </w:pPr>
      <w:r>
        <w:rPr>
          <w:rFonts w:ascii="Arial" w:cs="Arial" w:eastAsia="Arial" w:hAnsi="Arial"/>
          <w:b w:val="false"/>
          <w:bCs w:val="false"/>
          <w:i w:val="false"/>
          <w:iCs w:val="false"/>
          <w:color w:val="333333"/>
          <w:sz w:val="22"/>
          <w:szCs w:val="22"/>
        </w:rPr>
        <w:t xml:space="preserve">Improvement proposals enter the system through six intake channels, each feeding into a unified prioritization queue:</w:t>
      </w:r>
    </w:p>
    <w:p>
      <w:pPr>
        <w:pStyle w:val="ListParagraph"/>
        <w:numPr>
          <w:ilvl w:val="0"/>
          <w:numId w:val="2"/>
        </w:numPr>
        <w:spacing w:before="40" w:after="40"/>
      </w:pPr>
      <w:r>
        <w:rPr>
          <w:rFonts w:ascii="Arial" w:cs="Arial" w:eastAsia="Arial" w:hAnsi="Arial"/>
          <w:b/>
          <w:bCs/>
          <w:color w:val="333333"/>
          <w:sz w:val="22"/>
          <w:szCs w:val="22"/>
        </w:rPr>
        <w:t xml:space="preserve">Metric-Triggered: </w:t>
      </w:r>
      <w:r>
        <w:rPr>
          <w:rFonts w:ascii="Arial" w:cs="Arial" w:eastAsia="Arial" w:hAnsi="Arial"/>
          <w:color w:val="333333"/>
          <w:sz w:val="22"/>
          <w:szCs w:val="22"/>
        </w:rPr>
        <w:t xml:space="preserve">Automated identification of governance areas where KPIs fall below threshold or trend negatively for two or more measurement periods. These are auto-generated and pre-classified by AI-driven root cause analysis.</w:t>
      </w:r>
    </w:p>
    <w:p>
      <w:pPr>
        <w:pStyle w:val="ListParagraph"/>
        <w:numPr>
          <w:ilvl w:val="0"/>
          <w:numId w:val="2"/>
        </w:numPr>
        <w:spacing w:before="40" w:after="40"/>
      </w:pPr>
      <w:r>
        <w:rPr>
          <w:rFonts w:ascii="Arial" w:cs="Arial" w:eastAsia="Arial" w:hAnsi="Arial"/>
          <w:b/>
          <w:bCs/>
          <w:color w:val="333333"/>
          <w:sz w:val="22"/>
          <w:szCs w:val="22"/>
        </w:rPr>
        <w:t xml:space="preserve">Incident-Driven: </w:t>
      </w:r>
      <w:r>
        <w:rPr>
          <w:rFonts w:ascii="Arial" w:cs="Arial" w:eastAsia="Arial" w:hAnsi="Arial"/>
          <w:color w:val="333333"/>
          <w:sz w:val="22"/>
          <w:szCs w:val="22"/>
        </w:rPr>
        <w:t xml:space="preserve">Post-incident retrospectives that identify governance gaps, process failures, or control weaknesses. Each retrospective generates at least one improvement action item with severity-appropriate SLAs.</w:t>
      </w:r>
    </w:p>
    <w:p>
      <w:pPr>
        <w:pStyle w:val="ListParagraph"/>
        <w:numPr>
          <w:ilvl w:val="0"/>
          <w:numId w:val="2"/>
        </w:numPr>
        <w:spacing w:before="40" w:after="40"/>
      </w:pPr>
      <w:r>
        <w:rPr>
          <w:rFonts w:ascii="Arial" w:cs="Arial" w:eastAsia="Arial" w:hAnsi="Arial"/>
          <w:b/>
          <w:bCs/>
          <w:color w:val="333333"/>
          <w:sz w:val="22"/>
          <w:szCs w:val="22"/>
        </w:rPr>
        <w:t xml:space="preserve">Audit-Originated: </w:t>
      </w:r>
      <w:r>
        <w:rPr>
          <w:rFonts w:ascii="Arial" w:cs="Arial" w:eastAsia="Arial" w:hAnsi="Arial"/>
          <w:color w:val="333333"/>
          <w:sz w:val="22"/>
          <w:szCs w:val="22"/>
        </w:rPr>
        <w:t xml:space="preserve">Internal and external audit findings that identify compliance gaps, control deficiencies, or framework coverage gaps. Audit findings carry mandatory remediation timelines.</w:t>
      </w:r>
    </w:p>
    <w:p>
      <w:pPr>
        <w:pStyle w:val="ListParagraph"/>
        <w:numPr>
          <w:ilvl w:val="0"/>
          <w:numId w:val="2"/>
        </w:numPr>
        <w:spacing w:before="40" w:after="40"/>
      </w:pPr>
      <w:r>
        <w:rPr>
          <w:rFonts w:ascii="Arial" w:cs="Arial" w:eastAsia="Arial" w:hAnsi="Arial"/>
          <w:b/>
          <w:bCs/>
          <w:color w:val="333333"/>
          <w:sz w:val="22"/>
          <w:szCs w:val="22"/>
        </w:rPr>
        <w:t xml:space="preserve">Stakeholder-Submitted: </w:t>
      </w:r>
      <w:r>
        <w:rPr>
          <w:rFonts w:ascii="Arial" w:cs="Arial" w:eastAsia="Arial" w:hAnsi="Arial"/>
          <w:color w:val="333333"/>
          <w:sz w:val="22"/>
          <w:szCs w:val="22"/>
        </w:rPr>
        <w:t xml:space="preserve">Developer experience surveys, governance friction reports, and direct stakeholder feedback submitted through the governance portal. These are categorized and deduplicated before prioritization.</w:t>
      </w:r>
    </w:p>
    <w:p>
      <w:pPr>
        <w:pStyle w:val="ListParagraph"/>
        <w:numPr>
          <w:ilvl w:val="0"/>
          <w:numId w:val="2"/>
        </w:numPr>
        <w:spacing w:before="40" w:after="40"/>
      </w:pPr>
      <w:r>
        <w:rPr>
          <w:rFonts w:ascii="Arial" w:cs="Arial" w:eastAsia="Arial" w:hAnsi="Arial"/>
          <w:b/>
          <w:bCs/>
          <w:color w:val="333333"/>
          <w:sz w:val="22"/>
          <w:szCs w:val="22"/>
        </w:rPr>
        <w:t xml:space="preserve">Regulatory-Mandated: </w:t>
      </w:r>
      <w:r>
        <w:rPr>
          <w:rFonts w:ascii="Arial" w:cs="Arial" w:eastAsia="Arial" w:hAnsi="Arial"/>
          <w:color w:val="333333"/>
          <w:sz w:val="22"/>
          <w:szCs w:val="22"/>
        </w:rPr>
        <w:t xml:space="preserve">Regulatory changes identified through the horizon scanning process (Section XII.5.2) that require framework modifications. These follow the regulatory change management process with compliance-driven timelines.</w:t>
      </w:r>
    </w:p>
    <w:p>
      <w:pPr>
        <w:pStyle w:val="ListParagraph"/>
        <w:numPr>
          <w:ilvl w:val="0"/>
          <w:numId w:val="2"/>
        </w:numPr>
        <w:spacing w:before="40" w:after="40"/>
      </w:pPr>
      <w:r>
        <w:rPr>
          <w:rFonts w:ascii="Arial" w:cs="Arial" w:eastAsia="Arial" w:hAnsi="Arial"/>
          <w:b/>
          <w:bCs/>
          <w:color w:val="333333"/>
          <w:sz w:val="22"/>
          <w:szCs w:val="22"/>
        </w:rPr>
        <w:t xml:space="preserve">Innovation-Proposed: </w:t>
      </w:r>
      <w:r>
        <w:rPr>
          <w:rFonts w:ascii="Arial" w:cs="Arial" w:eastAsia="Arial" w:hAnsi="Arial"/>
          <w:color w:val="333333"/>
          <w:sz w:val="22"/>
          <w:szCs w:val="22"/>
        </w:rPr>
        <w:t xml:space="preserve">Proactive improvement proposals from the innovation cycle (C8) including emerging best practices, new tool capabilities, and research-driven enhancements.</w:t>
      </w:r>
    </w:p>
    <w:p>
      <w:pPr>
        <w:spacing w:before="80" w:after="80"/>
        <w:jc w:val="left"/>
      </w:pPr>
      <w:r>
        <w:rPr>
          <w:rFonts w:ascii="Arial" w:cs="Arial" w:eastAsia="Arial" w:hAnsi="Arial"/>
          <w:b w:val="false"/>
          <w:bCs w:val="false"/>
          <w:i w:val="false"/>
          <w:iCs w:val="false"/>
          <w:color w:val="333333"/>
          <w:sz w:val="22"/>
          <w:szCs w:val="22"/>
        </w:rPr>
        <w:t xml:space="preserve">All improvement proposals are scored using a weighted prioritization model that considers business impact (30%), risk reduction (25%), implementation effort (20%), strategic alignment (15%), and stakeholder demand (10%). The governance council reviews and approves the prioritized improvement backlog quarterly.</w:t>
      </w:r>
    </w:p>
    <w:p>
      <w:r>
        <w:br w:type="page"/>
      </w:r>
    </w:p>
    <w:p>
      <w:pPr>
        <w:pStyle w:val="Heading2"/>
        <w:spacing w:before="280" w:after="160"/>
      </w:pPr>
      <w:r>
        <w:rPr>
          <w:rFonts w:ascii="Arial" w:cs="Arial" w:eastAsia="Arial" w:hAnsi="Arial"/>
          <w:b/>
          <w:bCs/>
          <w:color w:val="2E75B6"/>
          <w:sz w:val="28"/>
          <w:szCs w:val="28"/>
        </w:rPr>
        <w:t xml:space="preserve">XII.7 — Feedback Loops and Learning Systems</w:t>
      </w:r>
    </w:p>
    <w:p>
      <w:pPr>
        <w:pStyle w:val="Heading3"/>
        <w:spacing w:before="200" w:after="120"/>
      </w:pPr>
      <w:r>
        <w:rPr>
          <w:rFonts w:ascii="Arial" w:cs="Arial" w:eastAsia="Arial" w:hAnsi="Arial"/>
          <w:b/>
          <w:bCs/>
          <w:color w:val="2C3E50"/>
          <w:sz w:val="24"/>
          <w:szCs w:val="24"/>
        </w:rPr>
        <w:t xml:space="preserve">XII.7.1 — Multi-Level Feedback Architecture</w:t>
      </w:r>
    </w:p>
    <w:p>
      <w:pPr>
        <w:spacing w:before="80" w:after="80"/>
        <w:jc w:val="left"/>
      </w:pPr>
      <w:r>
        <w:rPr>
          <w:rFonts w:ascii="Arial" w:cs="Arial" w:eastAsia="Arial" w:hAnsi="Arial"/>
          <w:b w:val="false"/>
          <w:bCs w:val="false"/>
          <w:i w:val="false"/>
          <w:iCs w:val="false"/>
          <w:color w:val="333333"/>
          <w:sz w:val="22"/>
          <w:szCs w:val="22"/>
        </w:rPr>
        <w:t xml:space="preserve">The governance framework incorporates feedback loops at four organizational levels, each generating distinct types of improvement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Feedback Sources</w:t>
            </w:r>
          </w:p>
        </w:tc>
        <w:tc>
          <w:tcPr>
            <w:tcW w:type="dxa" w:w="2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 Mechanism</w:t>
            </w:r>
          </w:p>
        </w:tc>
        <w:tc>
          <w:tcPr>
            <w:tcW w:type="dxa" w:w="29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Processing and Action</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Team Level</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Developer surveys, sprint retrospectives, tooling feedback, friction logs</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Embedded feedback widgets, retrospective templates, automated sentiment analysis</w:t>
            </w:r>
          </w:p>
        </w:tc>
        <w:tc>
          <w:tcPr>
            <w:tcW w:type="dxa" w:w="29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Team-level adjustments within 1 sprint; escalation to CoE for cross-team patterns</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Domain Level</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KPI dashboards, compliance posture reports, incident trends, maturity assessments</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metric collection, monthly domain reviews, quarterly maturity scans</w:t>
            </w:r>
          </w:p>
        </w:tc>
        <w:tc>
          <w:tcPr>
            <w:tcW w:type="dxa" w:w="29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lead authority for policy refinements; CoE review for cross-domain changes</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Enterprise Level</w:t>
            </w:r>
          </w:p>
        </w:tc>
        <w:tc>
          <w:tcPr>
            <w:tcW w:type="dxa" w:w="2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Executive dashboards, portfolio health metrics, strategic alignment scores, audit results</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 governance reviews, annual strategic assessment, board reporting</w:t>
            </w:r>
          </w:p>
        </w:tc>
        <w:tc>
          <w:tcPr>
            <w:tcW w:type="dxa" w:w="29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Council decisions on framework updates, investment, and strategic direction</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External Level</w:t>
            </w:r>
          </w:p>
        </w:tc>
        <w:tc>
          <w:tcPr>
            <w:tcW w:type="dxa" w:w="2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Regulatory updates, industry benchmarks, peer organization practices, analyst research, vendor roadmaps</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Horizon scanning, industry participation, advisory board input, conference insights</w:t>
            </w:r>
          </w:p>
        </w:tc>
        <w:tc>
          <w:tcPr>
            <w:tcW w:type="dxa" w:w="29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Innovation pipeline input; regulatory change management; strategic roadmap influence</w:t>
            </w:r>
          </w:p>
        </w:tc>
      </w:tr>
    </w:tbl>
    <w:p>
      <w:pPr>
        <w:pStyle w:val="Heading3"/>
        <w:spacing w:before="200" w:after="120"/>
      </w:pPr>
      <w:r>
        <w:rPr>
          <w:rFonts w:ascii="Arial" w:cs="Arial" w:eastAsia="Arial" w:hAnsi="Arial"/>
          <w:b/>
          <w:bCs/>
          <w:color w:val="2C3E50"/>
          <w:sz w:val="24"/>
          <w:szCs w:val="24"/>
        </w:rPr>
        <w:t xml:space="preserve">XII.7.2 — Organizational Learning System</w:t>
      </w:r>
    </w:p>
    <w:p>
      <w:pPr>
        <w:spacing w:before="80" w:after="80"/>
        <w:jc w:val="left"/>
      </w:pPr>
      <w:r>
        <w:rPr>
          <w:rFonts w:ascii="Arial" w:cs="Arial" w:eastAsia="Arial" w:hAnsi="Arial"/>
          <w:b w:val="false"/>
          <w:bCs w:val="false"/>
          <w:i w:val="false"/>
          <w:iCs w:val="false"/>
          <w:color w:val="333333"/>
          <w:sz w:val="22"/>
          <w:szCs w:val="22"/>
        </w:rPr>
        <w:t xml:space="preserve">Beyond feedback collection, the framework implements a structured learning system that transforms individual experiences into institutional knowledge:</w:t>
      </w:r>
    </w:p>
    <w:p>
      <w:pPr>
        <w:pStyle w:val="ListParagraph"/>
        <w:numPr>
          <w:ilvl w:val="0"/>
          <w:numId w:val="2"/>
        </w:numPr>
        <w:spacing w:before="40" w:after="40"/>
      </w:pPr>
      <w:r>
        <w:rPr>
          <w:rFonts w:ascii="Arial" w:cs="Arial" w:eastAsia="Arial" w:hAnsi="Arial"/>
          <w:b/>
          <w:bCs/>
          <w:color w:val="333333"/>
          <w:sz w:val="22"/>
          <w:szCs w:val="22"/>
        </w:rPr>
        <w:t xml:space="preserve">Knowledge Capture: </w:t>
      </w:r>
      <w:r>
        <w:rPr>
          <w:rFonts w:ascii="Arial" w:cs="Arial" w:eastAsia="Arial" w:hAnsi="Arial"/>
          <w:color w:val="333333"/>
          <w:sz w:val="22"/>
          <w:szCs w:val="22"/>
        </w:rPr>
        <w:t xml:space="preserve">Post-incident reviews, project retrospectives, audit findings, and improvement outcomes are systematically captured in a governance knowledge base using standardized templates that enable search, pattern analysis, and AI-driven insight extraction.</w:t>
      </w:r>
    </w:p>
    <w:p>
      <w:pPr>
        <w:pStyle w:val="ListParagraph"/>
        <w:numPr>
          <w:ilvl w:val="0"/>
          <w:numId w:val="2"/>
        </w:numPr>
        <w:spacing w:before="40" w:after="40"/>
      </w:pPr>
      <w:r>
        <w:rPr>
          <w:rFonts w:ascii="Arial" w:cs="Arial" w:eastAsia="Arial" w:hAnsi="Arial"/>
          <w:b/>
          <w:bCs/>
          <w:color w:val="333333"/>
          <w:sz w:val="22"/>
          <w:szCs w:val="22"/>
        </w:rPr>
        <w:t xml:space="preserve">Pattern Recognition: </w:t>
      </w:r>
      <w:r>
        <w:rPr>
          <w:rFonts w:ascii="Arial" w:cs="Arial" w:eastAsia="Arial" w:hAnsi="Arial"/>
          <w:color w:val="333333"/>
          <w:sz w:val="22"/>
          <w:szCs w:val="22"/>
        </w:rPr>
        <w:t xml:space="preserve">AI-driven analysis of the governance knowledge base identifies recurring patterns, systemic issues, and emerging trends that may not be visible at individual event level. Pattern reports are generated monthly and reviewed by CoE leadership.</w:t>
      </w:r>
    </w:p>
    <w:p>
      <w:pPr>
        <w:pStyle w:val="ListParagraph"/>
        <w:numPr>
          <w:ilvl w:val="0"/>
          <w:numId w:val="2"/>
        </w:numPr>
        <w:spacing w:before="40" w:after="40"/>
      </w:pPr>
      <w:r>
        <w:rPr>
          <w:rFonts w:ascii="Arial" w:cs="Arial" w:eastAsia="Arial" w:hAnsi="Arial"/>
          <w:b/>
          <w:bCs/>
          <w:color w:val="333333"/>
          <w:sz w:val="22"/>
          <w:szCs w:val="22"/>
        </w:rPr>
        <w:t xml:space="preserve">Best Practice Codification: </w:t>
      </w:r>
      <w:r>
        <w:rPr>
          <w:rFonts w:ascii="Arial" w:cs="Arial" w:eastAsia="Arial" w:hAnsi="Arial"/>
          <w:color w:val="333333"/>
          <w:sz w:val="22"/>
          <w:szCs w:val="22"/>
        </w:rPr>
        <w:t xml:space="preserve">Proven improvements that demonstrate sustained positive impact across two or more measurement cycles are codified into the governance framework as standard practices, with implementation guidance and success criteria.</w:t>
      </w:r>
    </w:p>
    <w:p>
      <w:pPr>
        <w:pStyle w:val="ListParagraph"/>
        <w:numPr>
          <w:ilvl w:val="0"/>
          <w:numId w:val="2"/>
        </w:numPr>
        <w:spacing w:before="40" w:after="40"/>
      </w:pPr>
      <w:r>
        <w:rPr>
          <w:rFonts w:ascii="Arial" w:cs="Arial" w:eastAsia="Arial" w:hAnsi="Arial"/>
          <w:b/>
          <w:bCs/>
          <w:color w:val="333333"/>
          <w:sz w:val="22"/>
          <w:szCs w:val="22"/>
        </w:rPr>
        <w:t xml:space="preserve">Cross-Pollination: </w:t>
      </w:r>
      <w:r>
        <w:rPr>
          <w:rFonts w:ascii="Arial" w:cs="Arial" w:eastAsia="Arial" w:hAnsi="Arial"/>
          <w:color w:val="333333"/>
          <w:sz w:val="22"/>
          <w:szCs w:val="22"/>
        </w:rPr>
        <w:t xml:space="preserve">Quarterly cross-domain learning sessions where domain teams share improvement outcomes, failed experiments, and emerging practices. These sessions are recorded and published in the governance knowledge base.</w:t>
      </w:r>
    </w:p>
    <w:p>
      <w:pPr>
        <w:pStyle w:val="ListParagraph"/>
        <w:numPr>
          <w:ilvl w:val="0"/>
          <w:numId w:val="2"/>
        </w:numPr>
        <w:spacing w:before="40" w:after="40"/>
      </w:pPr>
      <w:r>
        <w:rPr>
          <w:rFonts w:ascii="Arial" w:cs="Arial" w:eastAsia="Arial" w:hAnsi="Arial"/>
          <w:b/>
          <w:bCs/>
          <w:color w:val="333333"/>
          <w:sz w:val="22"/>
          <w:szCs w:val="22"/>
        </w:rPr>
        <w:t xml:space="preserve">External Benchmarking: </w:t>
      </w:r>
      <w:r>
        <w:rPr>
          <w:rFonts w:ascii="Arial" w:cs="Arial" w:eastAsia="Arial" w:hAnsi="Arial"/>
          <w:color w:val="333333"/>
          <w:sz w:val="22"/>
          <w:szCs w:val="22"/>
        </w:rPr>
        <w:t xml:space="preserve">Annual benchmarking against industry peers, published maturity studies, and analyst assessments to calibrate internal improvement priorities against external standards of excellence.</w:t>
      </w:r>
    </w:p>
    <w:p>
      <w:pPr>
        <w:pStyle w:val="Heading3"/>
        <w:spacing w:before="200" w:after="120"/>
      </w:pPr>
      <w:r>
        <w:rPr>
          <w:rFonts w:ascii="Arial" w:cs="Arial" w:eastAsia="Arial" w:hAnsi="Arial"/>
          <w:b/>
          <w:bCs/>
          <w:color w:val="2C3E50"/>
          <w:sz w:val="24"/>
          <w:szCs w:val="24"/>
        </w:rPr>
        <w:t xml:space="preserve">XII.7.3 — Governance Retrospective Standards</w:t>
      </w:r>
    </w:p>
    <w:p>
      <w:pPr>
        <w:spacing w:before="80" w:after="80"/>
        <w:jc w:val="left"/>
      </w:pPr>
      <w:r>
        <w:rPr>
          <w:rFonts w:ascii="Arial" w:cs="Arial" w:eastAsia="Arial" w:hAnsi="Arial"/>
          <w:b w:val="false"/>
          <w:bCs w:val="false"/>
          <w:i w:val="false"/>
          <w:iCs w:val="false"/>
          <w:color w:val="333333"/>
          <w:sz w:val="22"/>
          <w:szCs w:val="22"/>
        </w:rPr>
        <w:t xml:space="preserve">All governance retrospectives follow a standardized five-phase protocol designed to maximize learning and minimize blame:</w:t>
      </w:r>
    </w:p>
    <w:p>
      <w:pPr>
        <w:pStyle w:val="ListParagraph"/>
        <w:numPr>
          <w:ilvl w:val="0"/>
          <w:numId w:val="6"/>
        </w:numPr>
        <w:spacing w:before="40" w:after="40"/>
      </w:pPr>
      <w:r>
        <w:rPr>
          <w:rFonts w:ascii="Arial" w:cs="Arial" w:eastAsia="Arial" w:hAnsi="Arial"/>
          <w:color w:val="333333"/>
          <w:sz w:val="22"/>
          <w:szCs w:val="22"/>
        </w:rPr>
        <w:t xml:space="preserve">Context Reconstruction: Establish a shared understanding of what happened, when, and what conditions existed, using objective data from monitoring systems, audit logs, and timeline reconstruction.</w:t>
      </w:r>
    </w:p>
    <w:p>
      <w:pPr>
        <w:pStyle w:val="ListParagraph"/>
        <w:numPr>
          <w:ilvl w:val="0"/>
          <w:numId w:val="6"/>
        </w:numPr>
        <w:spacing w:before="40" w:after="40"/>
      </w:pPr>
      <w:r>
        <w:rPr>
          <w:rFonts w:ascii="Arial" w:cs="Arial" w:eastAsia="Arial" w:hAnsi="Arial"/>
          <w:color w:val="333333"/>
          <w:sz w:val="22"/>
          <w:szCs w:val="22"/>
        </w:rPr>
        <w:t xml:space="preserve">Contributing Factor Analysis: Identify the full chain of contributing factors including technical, process, organizational, and environmental factors. Use the Five Whys and Ishikawa diagram techniques to trace root causes.</w:t>
      </w:r>
    </w:p>
    <w:p>
      <w:pPr>
        <w:pStyle w:val="ListParagraph"/>
        <w:numPr>
          <w:ilvl w:val="0"/>
          <w:numId w:val="6"/>
        </w:numPr>
        <w:spacing w:before="40" w:after="40"/>
      </w:pPr>
      <w:r>
        <w:rPr>
          <w:rFonts w:ascii="Arial" w:cs="Arial" w:eastAsia="Arial" w:hAnsi="Arial"/>
          <w:color w:val="333333"/>
          <w:sz w:val="22"/>
          <w:szCs w:val="22"/>
        </w:rPr>
        <w:t xml:space="preserve">Framework Gap Identification: Map each contributing factor to the relevant framework part and subsection to identify where existing governance controls were insufficient, absent, or circumvented.</w:t>
      </w:r>
    </w:p>
    <w:p>
      <w:pPr>
        <w:pStyle w:val="ListParagraph"/>
        <w:numPr>
          <w:ilvl w:val="0"/>
          <w:numId w:val="6"/>
        </w:numPr>
        <w:spacing w:before="40" w:after="40"/>
      </w:pPr>
      <w:r>
        <w:rPr>
          <w:rFonts w:ascii="Arial" w:cs="Arial" w:eastAsia="Arial" w:hAnsi="Arial"/>
          <w:color w:val="333333"/>
          <w:sz w:val="22"/>
          <w:szCs w:val="22"/>
        </w:rPr>
        <w:t xml:space="preserve">Improvement Action Definition: Define specific, measurable, achievable, relevant, and time-bound improvement actions for each identified gap, with clear ownership and verification criteria.</w:t>
      </w:r>
    </w:p>
    <w:p>
      <w:pPr>
        <w:pStyle w:val="ListParagraph"/>
        <w:numPr>
          <w:ilvl w:val="0"/>
          <w:numId w:val="6"/>
        </w:numPr>
        <w:spacing w:before="40" w:after="40"/>
      </w:pPr>
      <w:r>
        <w:rPr>
          <w:rFonts w:ascii="Arial" w:cs="Arial" w:eastAsia="Arial" w:hAnsi="Arial"/>
          <w:color w:val="333333"/>
          <w:sz w:val="22"/>
          <w:szCs w:val="22"/>
        </w:rPr>
        <w:t xml:space="preserve">Systemic Learning Extraction: Identify lessons that apply beyond the immediate incident or domain, including cross-framework implications, dependency insights, and organizational learning that should influence the broader improvement program.</w:t>
      </w:r>
    </w:p>
    <w:p>
      <w:r>
        <w:br w:type="page"/>
      </w:r>
    </w:p>
    <w:p>
      <w:pPr>
        <w:pStyle w:val="Heading2"/>
        <w:spacing w:before="280" w:after="160"/>
      </w:pPr>
      <w:r>
        <w:rPr>
          <w:rFonts w:ascii="Arial" w:cs="Arial" w:eastAsia="Arial" w:hAnsi="Arial"/>
          <w:b/>
          <w:bCs/>
          <w:color w:val="2E75B6"/>
          <w:sz w:val="28"/>
          <w:szCs w:val="28"/>
        </w:rPr>
        <w:t xml:space="preserve">XII.8 — Framework Evolution and Version Management</w:t>
      </w:r>
    </w:p>
    <w:p>
      <w:pPr>
        <w:pStyle w:val="Heading3"/>
        <w:spacing w:before="200" w:after="120"/>
      </w:pPr>
      <w:r>
        <w:rPr>
          <w:rFonts w:ascii="Arial" w:cs="Arial" w:eastAsia="Arial" w:hAnsi="Arial"/>
          <w:b/>
          <w:bCs/>
          <w:color w:val="2C3E50"/>
          <w:sz w:val="24"/>
          <w:szCs w:val="24"/>
        </w:rPr>
        <w:t xml:space="preserve">XII.8.1 — Version Control Strategy</w:t>
      </w:r>
    </w:p>
    <w:p>
      <w:pPr>
        <w:spacing w:before="80" w:after="80"/>
        <w:jc w:val="left"/>
      </w:pPr>
      <w:r>
        <w:rPr>
          <w:rFonts w:ascii="Arial" w:cs="Arial" w:eastAsia="Arial" w:hAnsi="Arial"/>
          <w:b w:val="false"/>
          <w:bCs w:val="false"/>
          <w:i w:val="false"/>
          <w:iCs w:val="false"/>
          <w:color w:val="333333"/>
          <w:sz w:val="22"/>
          <w:szCs w:val="22"/>
        </w:rPr>
        <w:t xml:space="preserve">The governance framework follows a semantic versioning strategy that communicates the nature and impact of changes to all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c>
          <w:tcPr>
            <w:tcW w:type="dxa" w:w="1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Type</w:t>
            </w:r>
          </w:p>
        </w:tc>
        <w:tc>
          <w:tcPr>
            <w:tcW w:type="dxa" w:w="1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Notation</w:t>
            </w:r>
          </w:p>
        </w:tc>
        <w:tc>
          <w:tcPr>
            <w:tcW w:type="dxa" w:w="3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 of Change</w:t>
            </w:r>
          </w:p>
        </w:tc>
        <w:tc>
          <w:tcPr>
            <w:tcW w:type="dxa" w:w="27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Approval Authority</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Major Release</w:t>
            </w:r>
          </w:p>
        </w:tc>
        <w:tc>
          <w:tcPr>
            <w:tcW w:type="dxa" w:w="1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vX.0.0</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Structural changes, new parts, significant policy shifts, breaking changes to existing governance processes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Executive Committee and Governance Council</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Minor Release</w:t>
            </w:r>
          </w:p>
        </w:tc>
        <w:tc>
          <w:tcPr>
            <w:tcW w:type="dxa" w:w="1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vX.Y.0</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subsections, enhanced controls, expanded scope within existing parts, non-breaking additions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Council</w:t>
            </w:r>
          </w:p>
        </w:tc>
      </w:tr>
      <w:tr>
        <w:tc>
          <w:tcPr>
            <w:tcW w:type="dxa" w:w="1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Patch Release</w:t>
            </w:r>
          </w:p>
        </w:tc>
        <w:tc>
          <w:tcPr>
            <w:tcW w:type="dxa" w:w="1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vX.Y.Z</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Clarifications, corrections, template updates, reference updates, formatting improvements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CoE Director</w:t>
            </w:r>
          </w:p>
        </w:tc>
      </w:tr>
      <w:tr>
        <w:tc>
          <w:tcPr>
            <w:tcW w:type="dxa" w:w="1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Emergency Release</w:t>
            </w:r>
          </w:p>
        </w:tc>
        <w:tc>
          <w:tcPr>
            <w:tcW w:type="dxa" w:w="1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vX.Y.Z-hotfix</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regulatory compliance fixes, security-driven urgent changes, incident-response modifications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CoE Director with 48-hour Council ratification</w:t>
            </w:r>
          </w:p>
        </w:tc>
      </w:tr>
    </w:tbl>
    <w:p>
      <w:pPr>
        <w:pStyle w:val="Heading3"/>
        <w:spacing w:before="200" w:after="120"/>
      </w:pPr>
      <w:r>
        <w:rPr>
          <w:rFonts w:ascii="Arial" w:cs="Arial" w:eastAsia="Arial" w:hAnsi="Arial"/>
          <w:b/>
          <w:bCs/>
          <w:color w:val="2C3E50"/>
          <w:sz w:val="24"/>
          <w:szCs w:val="24"/>
        </w:rPr>
        <w:t xml:space="preserve">XII.8.2 — Change Management Workflow</w:t>
      </w:r>
    </w:p>
    <w:p>
      <w:pPr>
        <w:spacing w:before="80" w:after="80"/>
        <w:jc w:val="left"/>
      </w:pPr>
      <w:r>
        <w:rPr>
          <w:rFonts w:ascii="Arial" w:cs="Arial" w:eastAsia="Arial" w:hAnsi="Arial"/>
          <w:b w:val="false"/>
          <w:bCs w:val="false"/>
          <w:i w:val="false"/>
          <w:iCs w:val="false"/>
          <w:color w:val="333333"/>
          <w:sz w:val="22"/>
          <w:szCs w:val="22"/>
        </w:rPr>
        <w:t xml:space="preserve">All framework changes, regardless of version type, follow a structured change management workflow:</w:t>
      </w:r>
    </w:p>
    <w:p>
      <w:pPr>
        <w:pStyle w:val="ListParagraph"/>
        <w:numPr>
          <w:ilvl w:val="0"/>
          <w:numId w:val="7"/>
        </w:numPr>
        <w:spacing w:before="40" w:after="40"/>
      </w:pPr>
      <w:r>
        <w:rPr>
          <w:rFonts w:ascii="Arial" w:cs="Arial" w:eastAsia="Arial" w:hAnsi="Arial"/>
          <w:color w:val="333333"/>
          <w:sz w:val="22"/>
          <w:szCs w:val="22"/>
        </w:rPr>
        <w:t xml:space="preserve">Proposal Submission: Change proposals are submitted through the governance portal with impact classification, dependency analysis, and justification documentation.</w:t>
      </w:r>
    </w:p>
    <w:p>
      <w:pPr>
        <w:pStyle w:val="ListParagraph"/>
        <w:numPr>
          <w:ilvl w:val="0"/>
          <w:numId w:val="7"/>
        </w:numPr>
        <w:spacing w:before="40" w:after="40"/>
      </w:pPr>
      <w:r>
        <w:rPr>
          <w:rFonts w:ascii="Arial" w:cs="Arial" w:eastAsia="Arial" w:hAnsi="Arial"/>
          <w:color w:val="333333"/>
          <w:sz w:val="22"/>
          <w:szCs w:val="22"/>
        </w:rPr>
        <w:t xml:space="preserve">Impact Assessment: The CoE conducts a cross-framework impact assessment using the dependency matrix (Section XII.2) to identify all affected parts, integration points, and stakeholders.</w:t>
      </w:r>
    </w:p>
    <w:p>
      <w:pPr>
        <w:pStyle w:val="ListParagraph"/>
        <w:numPr>
          <w:ilvl w:val="0"/>
          <w:numId w:val="7"/>
        </w:numPr>
        <w:spacing w:before="40" w:after="40"/>
      </w:pPr>
      <w:r>
        <w:rPr>
          <w:rFonts w:ascii="Arial" w:cs="Arial" w:eastAsia="Arial" w:hAnsi="Arial"/>
          <w:color w:val="333333"/>
          <w:sz w:val="22"/>
          <w:szCs w:val="22"/>
        </w:rPr>
        <w:t xml:space="preserve">Stakeholder Review: Affected stakeholders review the proposed change during a defined review period (5 business days for patches, 15 for minor releases, 30 for major releases).</w:t>
      </w:r>
    </w:p>
    <w:p>
      <w:pPr>
        <w:pStyle w:val="ListParagraph"/>
        <w:numPr>
          <w:ilvl w:val="0"/>
          <w:numId w:val="7"/>
        </w:numPr>
        <w:spacing w:before="40" w:after="40"/>
      </w:pPr>
      <w:r>
        <w:rPr>
          <w:rFonts w:ascii="Arial" w:cs="Arial" w:eastAsia="Arial" w:hAnsi="Arial"/>
          <w:color w:val="333333"/>
          <w:sz w:val="22"/>
          <w:szCs w:val="22"/>
        </w:rPr>
        <w:t xml:space="preserve">Pilot Validation: For minor and major releases, the change is piloted with a representative subset of teams for a minimum of one sprint cycle to validate effectiveness and identify unintended consequences.</w:t>
      </w:r>
    </w:p>
    <w:p>
      <w:pPr>
        <w:pStyle w:val="ListParagraph"/>
        <w:numPr>
          <w:ilvl w:val="0"/>
          <w:numId w:val="7"/>
        </w:numPr>
        <w:spacing w:before="40" w:after="40"/>
      </w:pPr>
      <w:r>
        <w:rPr>
          <w:rFonts w:ascii="Arial" w:cs="Arial" w:eastAsia="Arial" w:hAnsi="Arial"/>
          <w:color w:val="333333"/>
          <w:sz w:val="22"/>
          <w:szCs w:val="22"/>
        </w:rPr>
        <w:t xml:space="preserve">Approval and Publication: The appropriate authority approves the change, and the updated framework version is published with comprehensive release notes, migration guidance, and communication materials.</w:t>
      </w:r>
    </w:p>
    <w:p>
      <w:pPr>
        <w:pStyle w:val="ListParagraph"/>
        <w:numPr>
          <w:ilvl w:val="0"/>
          <w:numId w:val="7"/>
        </w:numPr>
        <w:spacing w:before="40" w:after="40"/>
      </w:pPr>
      <w:r>
        <w:rPr>
          <w:rFonts w:ascii="Arial" w:cs="Arial" w:eastAsia="Arial" w:hAnsi="Arial"/>
          <w:color w:val="333333"/>
          <w:sz w:val="22"/>
          <w:szCs w:val="22"/>
        </w:rPr>
        <w:t xml:space="preserve">Adoption Monitoring: Post-release adoption is tracked through compliance dashboards, with targeted support provided to teams that lag in adopting updated governance requirements.</w:t>
      </w:r>
    </w:p>
    <w:p>
      <w:pPr>
        <w:pStyle w:val="Heading3"/>
        <w:spacing w:before="200" w:after="120"/>
      </w:pPr>
      <w:r>
        <w:rPr>
          <w:rFonts w:ascii="Arial" w:cs="Arial" w:eastAsia="Arial" w:hAnsi="Arial"/>
          <w:b/>
          <w:bCs/>
          <w:color w:val="2C3E50"/>
          <w:sz w:val="24"/>
          <w:szCs w:val="24"/>
        </w:rPr>
        <w:t xml:space="preserve">XII.8.3 — Framework Lifecycle and Sunset Planning</w:t>
      </w:r>
    </w:p>
    <w:p>
      <w:pPr>
        <w:spacing w:before="80" w:after="80"/>
        <w:jc w:val="left"/>
      </w:pPr>
      <w:r>
        <w:rPr>
          <w:rFonts w:ascii="Arial" w:cs="Arial" w:eastAsia="Arial" w:hAnsi="Arial"/>
          <w:b w:val="false"/>
          <w:bCs w:val="false"/>
          <w:i w:val="false"/>
          <w:iCs w:val="false"/>
          <w:color w:val="333333"/>
          <w:sz w:val="22"/>
          <w:szCs w:val="22"/>
        </w:rPr>
        <w:t xml:space="preserve">The governance framework itself follows a lifecycle model that anticipates major evolutionary transitions:</w:t>
      </w:r>
    </w:p>
    <w:p>
      <w:pPr>
        <w:pStyle w:val="ListParagraph"/>
        <w:numPr>
          <w:ilvl w:val="0"/>
          <w:numId w:val="2"/>
        </w:numPr>
        <w:spacing w:before="40" w:after="40"/>
      </w:pPr>
      <w:r>
        <w:rPr>
          <w:rFonts w:ascii="Arial" w:cs="Arial" w:eastAsia="Arial" w:hAnsi="Arial"/>
          <w:b/>
          <w:bCs/>
          <w:color w:val="333333"/>
          <w:sz w:val="22"/>
          <w:szCs w:val="22"/>
        </w:rPr>
        <w:t xml:space="preserve">Annual Refresh Cycle: </w:t>
      </w:r>
      <w:r>
        <w:rPr>
          <w:rFonts w:ascii="Arial" w:cs="Arial" w:eastAsia="Arial" w:hAnsi="Arial"/>
          <w:color w:val="333333"/>
          <w:sz w:val="22"/>
          <w:szCs w:val="22"/>
        </w:rPr>
        <w:t xml:space="preserve">Each year, the entire framework undergoes a comprehensive review that evaluates relevance, effectiveness, and alignment with organizational strategy and regulatory environment. This review may trigger a minor or major version release.</w:t>
      </w:r>
    </w:p>
    <w:p>
      <w:pPr>
        <w:pStyle w:val="ListParagraph"/>
        <w:numPr>
          <w:ilvl w:val="0"/>
          <w:numId w:val="2"/>
        </w:numPr>
        <w:spacing w:before="40" w:after="40"/>
      </w:pPr>
      <w:r>
        <w:rPr>
          <w:rFonts w:ascii="Arial" w:cs="Arial" w:eastAsia="Arial" w:hAnsi="Arial"/>
          <w:b/>
          <w:bCs/>
          <w:color w:val="333333"/>
          <w:sz w:val="22"/>
          <w:szCs w:val="22"/>
        </w:rPr>
        <w:t xml:space="preserve">Technology Horizon Planning: </w:t>
      </w:r>
      <w:r>
        <w:rPr>
          <w:rFonts w:ascii="Arial" w:cs="Arial" w:eastAsia="Arial" w:hAnsi="Arial"/>
          <w:color w:val="333333"/>
          <w:sz w:val="22"/>
          <w:szCs w:val="22"/>
        </w:rPr>
        <w:t xml:space="preserve">A rolling 3-year technology horizon assessment identifies emerging technologies that may require new governance parts, significant modifications to existing parts, or retirement of obsolete controls.</w:t>
      </w:r>
    </w:p>
    <w:p>
      <w:pPr>
        <w:pStyle w:val="ListParagraph"/>
        <w:numPr>
          <w:ilvl w:val="0"/>
          <w:numId w:val="2"/>
        </w:numPr>
        <w:spacing w:before="40" w:after="40"/>
      </w:pPr>
      <w:r>
        <w:rPr>
          <w:rFonts w:ascii="Arial" w:cs="Arial" w:eastAsia="Arial" w:hAnsi="Arial"/>
          <w:b/>
          <w:bCs/>
          <w:color w:val="333333"/>
          <w:sz w:val="22"/>
          <w:szCs w:val="22"/>
        </w:rPr>
        <w:t xml:space="preserve">Regulatory Horizon Planning: </w:t>
      </w:r>
      <w:r>
        <w:rPr>
          <w:rFonts w:ascii="Arial" w:cs="Arial" w:eastAsia="Arial" w:hAnsi="Arial"/>
          <w:color w:val="333333"/>
          <w:sz w:val="22"/>
          <w:szCs w:val="22"/>
        </w:rPr>
        <w:t xml:space="preserve">A rolling 2-year regulatory horizon assessment tracks legislative developments, enforcement trends, and standards evolution to enable proactive framework adaptation.</w:t>
      </w:r>
    </w:p>
    <w:p>
      <w:pPr>
        <w:pStyle w:val="ListParagraph"/>
        <w:numPr>
          <w:ilvl w:val="0"/>
          <w:numId w:val="2"/>
        </w:numPr>
        <w:spacing w:before="40" w:after="40"/>
      </w:pPr>
      <w:r>
        <w:rPr>
          <w:rFonts w:ascii="Arial" w:cs="Arial" w:eastAsia="Arial" w:hAnsi="Arial"/>
          <w:b/>
          <w:bCs/>
          <w:color w:val="333333"/>
          <w:sz w:val="22"/>
          <w:szCs w:val="22"/>
        </w:rPr>
        <w:t xml:space="preserve">Sunset Criteria: </w:t>
      </w:r>
      <w:r>
        <w:rPr>
          <w:rFonts w:ascii="Arial" w:cs="Arial" w:eastAsia="Arial" w:hAnsi="Arial"/>
          <w:color w:val="333333"/>
          <w:sz w:val="22"/>
          <w:szCs w:val="22"/>
        </w:rPr>
        <w:t xml:space="preserve">Framework components that no longer deliver governance value or have been superseded by more effective approaches are formally deprecated with a 6-month transition period before removal. Deprecated components remain accessible in the framework archive.</w:t>
      </w:r>
    </w:p>
    <w:p>
      <w:r>
        <w:br w:type="page"/>
      </w:r>
    </w:p>
    <w:p>
      <w:pPr>
        <w:pStyle w:val="Heading2"/>
        <w:spacing w:before="280" w:after="160"/>
      </w:pPr>
      <w:r>
        <w:rPr>
          <w:rFonts w:ascii="Arial" w:cs="Arial" w:eastAsia="Arial" w:hAnsi="Arial"/>
          <w:b/>
          <w:bCs/>
          <w:color w:val="2E75B6"/>
          <w:sz w:val="28"/>
          <w:szCs w:val="28"/>
        </w:rPr>
        <w:t xml:space="preserve">XII.9 — Implementation Roadmap Dependencies</w:t>
      </w:r>
    </w:p>
    <w:p>
      <w:pPr>
        <w:pStyle w:val="Heading3"/>
        <w:spacing w:before="200" w:after="120"/>
      </w:pPr>
      <w:r>
        <w:rPr>
          <w:rFonts w:ascii="Arial" w:cs="Arial" w:eastAsia="Arial" w:hAnsi="Arial"/>
          <w:b/>
          <w:bCs/>
          <w:color w:val="2C3E50"/>
          <w:sz w:val="24"/>
          <w:szCs w:val="24"/>
        </w:rPr>
        <w:t xml:space="preserve">XII.9.1 — Phased Implementation Sequence</w:t>
      </w:r>
    </w:p>
    <w:p>
      <w:pPr>
        <w:spacing w:before="80" w:after="80"/>
        <w:jc w:val="left"/>
      </w:pPr>
      <w:r>
        <w:rPr>
          <w:rFonts w:ascii="Arial" w:cs="Arial" w:eastAsia="Arial" w:hAnsi="Arial"/>
          <w:b w:val="false"/>
          <w:bCs w:val="false"/>
          <w:i w:val="false"/>
          <w:iCs w:val="false"/>
          <w:color w:val="333333"/>
          <w:sz w:val="22"/>
          <w:szCs w:val="22"/>
        </w:rPr>
        <w:t xml:space="preserve">The framework is designed for phased implementation over an 18–24 month period. The following implementation sequence respects the dependency chain while delivering governance value at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2000"/>
        <w:gridCol w:w="1960"/>
      </w:tblGrid>
      <w:tr>
        <w:tc>
          <w:tcPr>
            <w:tcW w:type="dxa" w:w="14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 Parts</w:t>
            </w:r>
          </w:p>
        </w:tc>
        <w:tc>
          <w:tcPr>
            <w:tcW w:type="dxa" w:w="2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Prerequisites</w:t>
            </w:r>
          </w:p>
        </w:tc>
        <w:tc>
          <w:tcPr>
            <w:tcW w:type="dxa" w:w="19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r>
      <w:tr>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1: Foundation</w:t>
            </w:r>
          </w:p>
        </w:tc>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1–4</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(Strategic Foundation), Part VIII (Core Dev Standards)</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Executive sponsorship, CoE charter, core team staffing</w:t>
            </w:r>
          </w:p>
        </w:tc>
        <w:tc>
          <w:tcPr>
            <w:tcW w:type="dxa" w:w="19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Governance charter, lifecycle model, coding standards</w:t>
            </w:r>
          </w:p>
        </w:tc>
      </w:tr>
      <w:tr>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 Pipeline</w:t>
            </w:r>
          </w:p>
        </w:tc>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3–8</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III (Agentic SDLC), Part IV (DevSecOps)</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complete, CI/CD platform, security tooling</w:t>
            </w:r>
          </w:p>
        </w:tc>
        <w:tc>
          <w:tcPr>
            <w:tcW w:type="dxa" w:w="19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pipeline, security gates, agent framework</w:t>
            </w:r>
          </w:p>
        </w:tc>
      </w:tr>
      <w:tr>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3: Risk &amp; Quality</w:t>
            </w:r>
          </w:p>
        </w:tc>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6–12</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 (TPRM), Part VII (Testing)</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operational, GRC platform, test automation</w:t>
            </w:r>
          </w:p>
        </w:tc>
        <w:tc>
          <w:tcPr>
            <w:tcW w:type="dxa" w:w="19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Vendor management, quality gates, test framework</w:t>
            </w:r>
          </w:p>
        </w:tc>
      </w:tr>
      <w:tr>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4: AI Governance</w:t>
            </w:r>
          </w:p>
        </w:tc>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9–15</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VI (AI Governance)</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Phases 1–3 operational, ML platform, AI ethics committee</w:t>
            </w:r>
          </w:p>
        </w:tc>
        <w:tc>
          <w:tcPr>
            <w:tcW w:type="dxa" w:w="19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risk classification, model governance, bias testing</w:t>
            </w:r>
          </w:p>
        </w:tc>
      </w:tr>
      <w:tr>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5: Operations</w:t>
            </w:r>
          </w:p>
        </w:tc>
        <w:tc>
          <w:tcPr>
            <w:tcW w:type="dxa" w:w="14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12–18</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IX (Operations), Part X (Acceleration)</w:t>
            </w:r>
          </w:p>
        </w:tc>
        <w:tc>
          <w:tcPr>
            <w:tcW w:type="dxa" w:w="2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Phases 1–4 operational, observability platform</w:t>
            </w:r>
          </w:p>
        </w:tc>
        <w:tc>
          <w:tcPr>
            <w:tcW w:type="dxa" w:w="19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SRE practices, change management, adoption program</w:t>
            </w:r>
          </w:p>
        </w:tc>
      </w:tr>
      <w:tr>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6: Optimization</w:t>
            </w:r>
          </w:p>
        </w:tc>
        <w:tc>
          <w:tcPr>
            <w:tcW w:type="dxa" w:w="14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15–24</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XI (Measurement), Part XII (Continuous Improvement)</w:t>
            </w:r>
          </w:p>
        </w:tc>
        <w:tc>
          <w:tcPr>
            <w:tcW w:type="dxa" w:w="2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prior phases operational, data lake, dashboards</w:t>
            </w:r>
          </w:p>
        </w:tc>
        <w:tc>
          <w:tcPr>
            <w:tcW w:type="dxa" w:w="19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KPI framework, maturity model, improvement cycles</w:t>
            </w:r>
          </w:p>
        </w:tc>
      </w:tr>
    </w:tbl>
    <w:p>
      <w:pPr>
        <w:pStyle w:val="Heading3"/>
        <w:spacing w:before="200" w:after="120"/>
      </w:pPr>
      <w:r>
        <w:rPr>
          <w:rFonts w:ascii="Arial" w:cs="Arial" w:eastAsia="Arial" w:hAnsi="Arial"/>
          <w:b/>
          <w:bCs/>
          <w:color w:val="2C3E50"/>
          <w:sz w:val="24"/>
          <w:szCs w:val="24"/>
        </w:rPr>
        <w:t xml:space="preserve">XII.9.2 — Critical Path Analysis</w:t>
      </w:r>
    </w:p>
    <w:p>
      <w:pPr>
        <w:spacing w:before="80" w:after="80"/>
        <w:jc w:val="left"/>
      </w:pPr>
      <w:r>
        <w:rPr>
          <w:rFonts w:ascii="Arial" w:cs="Arial" w:eastAsia="Arial" w:hAnsi="Arial"/>
          <w:b w:val="false"/>
          <w:bCs w:val="false"/>
          <w:i w:val="false"/>
          <w:iCs w:val="false"/>
          <w:color w:val="333333"/>
          <w:sz w:val="22"/>
          <w:szCs w:val="22"/>
        </w:rPr>
        <w:t xml:space="preserve">The critical path for framework implementation follows the dependency chain that has the longest cumulative duration and the least schedule flexibility:</w:t>
      </w:r>
    </w:p>
    <w:p>
      <w:pPr>
        <w:pStyle w:val="ListParagraph"/>
        <w:numPr>
          <w:ilvl w:val="0"/>
          <w:numId w:val="2"/>
        </w:numPr>
        <w:spacing w:before="40" w:after="40"/>
      </w:pPr>
      <w:r>
        <w:rPr>
          <w:rFonts w:ascii="Arial" w:cs="Arial" w:eastAsia="Arial" w:hAnsi="Arial"/>
          <w:b/>
          <w:bCs/>
          <w:color w:val="333333"/>
          <w:sz w:val="22"/>
          <w:szCs w:val="22"/>
        </w:rPr>
        <w:t xml:space="preserve">Critical Path: </w:t>
      </w:r>
      <w:r>
        <w:rPr>
          <w:rFonts w:ascii="Arial" w:cs="Arial" w:eastAsia="Arial" w:hAnsi="Arial"/>
          <w:color w:val="333333"/>
          <w:sz w:val="22"/>
          <w:szCs w:val="22"/>
        </w:rPr>
        <w:t xml:space="preserve">Parts I–II (Foundation) → Part III (Agentic SDLC) → Part VI (AI Governance) → Part VII (Testing) → Part IX (Operations) → Part XI (Measurement). This chain represents the minimum 18-month implementation timeline.</w:t>
      </w:r>
    </w:p>
    <w:p>
      <w:pPr>
        <w:pStyle w:val="ListParagraph"/>
        <w:numPr>
          <w:ilvl w:val="0"/>
          <w:numId w:val="2"/>
        </w:numPr>
        <w:spacing w:before="40" w:after="40"/>
      </w:pPr>
      <w:r>
        <w:rPr>
          <w:rFonts w:ascii="Arial" w:cs="Arial" w:eastAsia="Arial" w:hAnsi="Arial"/>
          <w:b/>
          <w:bCs/>
          <w:color w:val="333333"/>
          <w:sz w:val="22"/>
          <w:szCs w:val="22"/>
        </w:rPr>
        <w:t xml:space="preserve">Parallel Path A: </w:t>
      </w:r>
      <w:r>
        <w:rPr>
          <w:rFonts w:ascii="Arial" w:cs="Arial" w:eastAsia="Arial" w:hAnsi="Arial"/>
          <w:color w:val="333333"/>
          <w:sz w:val="22"/>
          <w:szCs w:val="22"/>
        </w:rPr>
        <w:t xml:space="preserve">Part IV (DevSecOps) and Part V (TPRM) can proceed in parallel with Parts III and VII respectively, reducing elapsed time by 3–4 months compared to sequential implementation.</w:t>
      </w:r>
    </w:p>
    <w:p>
      <w:pPr>
        <w:pStyle w:val="ListParagraph"/>
        <w:numPr>
          <w:ilvl w:val="0"/>
          <w:numId w:val="2"/>
        </w:numPr>
        <w:spacing w:before="40" w:after="40"/>
      </w:pPr>
      <w:r>
        <w:rPr>
          <w:rFonts w:ascii="Arial" w:cs="Arial" w:eastAsia="Arial" w:hAnsi="Arial"/>
          <w:b/>
          <w:bCs/>
          <w:color w:val="333333"/>
          <w:sz w:val="22"/>
          <w:szCs w:val="22"/>
        </w:rPr>
        <w:t xml:space="preserve">Parallel Path B: </w:t>
      </w:r>
      <w:r>
        <w:rPr>
          <w:rFonts w:ascii="Arial" w:cs="Arial" w:eastAsia="Arial" w:hAnsi="Arial"/>
          <w:color w:val="333333"/>
          <w:sz w:val="22"/>
          <w:szCs w:val="22"/>
        </w:rPr>
        <w:t xml:space="preserve">Part VIII (Development Standards) and Part X (Acceleration) can be initiated in parallel with their dependent phases, providing early value while the critical path progresses.</w:t>
      </w:r>
    </w:p>
    <w:p>
      <w:pPr>
        <w:pStyle w:val="ListParagraph"/>
        <w:numPr>
          <w:ilvl w:val="0"/>
          <w:numId w:val="2"/>
        </w:numPr>
        <w:spacing w:before="40" w:after="40"/>
      </w:pPr>
      <w:r>
        <w:rPr>
          <w:rFonts w:ascii="Arial" w:cs="Arial" w:eastAsia="Arial" w:hAnsi="Arial"/>
          <w:b/>
          <w:bCs/>
          <w:color w:val="333333"/>
          <w:sz w:val="22"/>
          <w:szCs w:val="22"/>
        </w:rPr>
        <w:t xml:space="preserve">Schedule Risk Factors: </w:t>
      </w:r>
      <w:r>
        <w:rPr>
          <w:rFonts w:ascii="Arial" w:cs="Arial" w:eastAsia="Arial" w:hAnsi="Arial"/>
          <w:color w:val="333333"/>
          <w:sz w:val="22"/>
          <w:szCs w:val="22"/>
        </w:rPr>
        <w:t xml:space="preserve">The highest schedule risks are: technology procurement delays (2–4 month impact), staffing gaps in specialized roles (3–6 month impact), executive sponsor changes (1–3 month impact), and regulatory changes requiring scope expansion (2–6 month impact).</w:t>
      </w:r>
    </w:p>
    <w:p>
      <w:pPr>
        <w:pStyle w:val="Heading3"/>
        <w:spacing w:before="200" w:after="120"/>
      </w:pPr>
      <w:r>
        <w:rPr>
          <w:rFonts w:ascii="Arial" w:cs="Arial" w:eastAsia="Arial" w:hAnsi="Arial"/>
          <w:b/>
          <w:bCs/>
          <w:color w:val="2C3E50"/>
          <w:sz w:val="24"/>
          <w:szCs w:val="24"/>
        </w:rPr>
        <w:t xml:space="preserve">XII.9.3 — Implementation Success Criteria</w:t>
      </w:r>
    </w:p>
    <w:p>
      <w:pPr>
        <w:spacing w:before="80" w:after="80"/>
        <w:jc w:val="left"/>
      </w:pPr>
      <w:r>
        <w:rPr>
          <w:rFonts w:ascii="Arial" w:cs="Arial" w:eastAsia="Arial" w:hAnsi="Arial"/>
          <w:b w:val="false"/>
          <w:bCs w:val="false"/>
          <w:i w:val="false"/>
          <w:iCs w:val="false"/>
          <w:color w:val="333333"/>
          <w:sz w:val="22"/>
          <w:szCs w:val="22"/>
        </w:rPr>
        <w:t xml:space="preserve">Each implementation phase has defined success criteria that must be met before proceeding to the next phase. Success criteria are measured across four dimensions:</w:t>
      </w:r>
    </w:p>
    <w:p>
      <w:pPr>
        <w:pStyle w:val="ListParagraph"/>
        <w:numPr>
          <w:ilvl w:val="0"/>
          <w:numId w:val="2"/>
        </w:numPr>
        <w:spacing w:before="40" w:after="40"/>
      </w:pPr>
      <w:r>
        <w:rPr>
          <w:rFonts w:ascii="Arial" w:cs="Arial" w:eastAsia="Arial" w:hAnsi="Arial"/>
          <w:b/>
          <w:bCs/>
          <w:color w:val="333333"/>
          <w:sz w:val="22"/>
          <w:szCs w:val="22"/>
        </w:rPr>
        <w:t xml:space="preserve">Governance Coverage: </w:t>
      </w:r>
      <w:r>
        <w:rPr>
          <w:rFonts w:ascii="Arial" w:cs="Arial" w:eastAsia="Arial" w:hAnsi="Arial"/>
          <w:color w:val="333333"/>
          <w:sz w:val="22"/>
          <w:szCs w:val="22"/>
        </w:rPr>
        <w:t xml:space="preserve">The percentage of in-scope applications, teams, and processes that are operating under the implemented governance controls. Minimum threshold: 80% coverage before phase transition.</w:t>
      </w:r>
    </w:p>
    <w:p>
      <w:pPr>
        <w:pStyle w:val="ListParagraph"/>
        <w:numPr>
          <w:ilvl w:val="0"/>
          <w:numId w:val="2"/>
        </w:numPr>
        <w:spacing w:before="40" w:after="40"/>
      </w:pPr>
      <w:r>
        <w:rPr>
          <w:rFonts w:ascii="Arial" w:cs="Arial" w:eastAsia="Arial" w:hAnsi="Arial"/>
          <w:b/>
          <w:bCs/>
          <w:color w:val="333333"/>
          <w:sz w:val="22"/>
          <w:szCs w:val="22"/>
        </w:rPr>
        <w:t xml:space="preserve">Automation Level: </w:t>
      </w:r>
      <w:r>
        <w:rPr>
          <w:rFonts w:ascii="Arial" w:cs="Arial" w:eastAsia="Arial" w:hAnsi="Arial"/>
          <w:color w:val="333333"/>
          <w:sz w:val="22"/>
          <w:szCs w:val="22"/>
        </w:rPr>
        <w:t xml:space="preserve">The percentage of governance activities that are automated versus manual. Target: 60% automation at phase completion, increasing to 85% at framework maturity.</w:t>
      </w:r>
    </w:p>
    <w:p>
      <w:pPr>
        <w:pStyle w:val="ListParagraph"/>
        <w:numPr>
          <w:ilvl w:val="0"/>
          <w:numId w:val="2"/>
        </w:numPr>
        <w:spacing w:before="40" w:after="40"/>
      </w:pPr>
      <w:r>
        <w:rPr>
          <w:rFonts w:ascii="Arial" w:cs="Arial" w:eastAsia="Arial" w:hAnsi="Arial"/>
          <w:b/>
          <w:bCs/>
          <w:color w:val="333333"/>
          <w:sz w:val="22"/>
          <w:szCs w:val="22"/>
        </w:rPr>
        <w:t xml:space="preserve">Stakeholder Adoption: </w:t>
      </w:r>
      <w:r>
        <w:rPr>
          <w:rFonts w:ascii="Arial" w:cs="Arial" w:eastAsia="Arial" w:hAnsi="Arial"/>
          <w:color w:val="333333"/>
          <w:sz w:val="22"/>
          <w:szCs w:val="22"/>
        </w:rPr>
        <w:t xml:space="preserve">Developer satisfaction with governance processes (measured via NPS), governance portal active usage rates, and voluntary compliance rates. Target: NPS &gt; 20 and &gt; 70% active usage.</w:t>
      </w:r>
    </w:p>
    <w:p>
      <w:pPr>
        <w:pStyle w:val="ListParagraph"/>
        <w:numPr>
          <w:ilvl w:val="0"/>
          <w:numId w:val="2"/>
        </w:numPr>
        <w:spacing w:before="40" w:after="40"/>
      </w:pPr>
      <w:r>
        <w:rPr>
          <w:rFonts w:ascii="Arial" w:cs="Arial" w:eastAsia="Arial" w:hAnsi="Arial"/>
          <w:b/>
          <w:bCs/>
          <w:color w:val="333333"/>
          <w:sz w:val="22"/>
          <w:szCs w:val="22"/>
        </w:rPr>
        <w:t xml:space="preserve">Measurable Impact: </w:t>
      </w:r>
      <w:r>
        <w:rPr>
          <w:rFonts w:ascii="Arial" w:cs="Arial" w:eastAsia="Arial" w:hAnsi="Arial"/>
          <w:color w:val="333333"/>
          <w:sz w:val="22"/>
          <w:szCs w:val="22"/>
        </w:rPr>
        <w:t xml:space="preserve">Demonstrated improvement in at least three Tier-1 KPIs defined in Part XI, with statistical significance validated through the measurement framework.</w:t>
      </w:r>
    </w:p>
    <w:p>
      <w:r>
        <w:br w:type="page"/>
      </w:r>
    </w:p>
    <w:p>
      <w:pPr>
        <w:pStyle w:val="Heading2"/>
        <w:spacing w:before="280" w:after="160"/>
      </w:pPr>
      <w:r>
        <w:rPr>
          <w:rFonts w:ascii="Arial" w:cs="Arial" w:eastAsia="Arial" w:hAnsi="Arial"/>
          <w:b/>
          <w:bCs/>
          <w:color w:val="2E75B6"/>
          <w:sz w:val="28"/>
          <w:szCs w:val="28"/>
        </w:rPr>
        <w:t xml:space="preserve">XII.10 — Consolidated Reference Library</w:t>
      </w:r>
    </w:p>
    <w:p>
      <w:pPr>
        <w:spacing w:before="120" w:after="80"/>
        <w:jc w:val="left"/>
      </w:pPr>
      <w:r>
        <w:rPr>
          <w:rFonts w:ascii="Arial" w:cs="Arial" w:eastAsia="Arial" w:hAnsi="Arial"/>
          <w:b w:val="false"/>
          <w:bCs w:val="false"/>
          <w:i w:val="false"/>
          <w:iCs w:val="false"/>
          <w:color w:val="333333"/>
          <w:sz w:val="22"/>
          <w:szCs w:val="22"/>
        </w:rPr>
        <w:t xml:space="preserve">This section consolidates all source documents, industry standards, regulatory frameworks, and intellectual references that inform the Enterprise Software Governance Playbook. References are organized by category and mapped to the framework parts they support.</w:t>
      </w:r>
    </w:p>
    <w:p>
      <w:pPr>
        <w:pStyle w:val="Heading3"/>
        <w:spacing w:before="200" w:after="120"/>
      </w:pPr>
      <w:r>
        <w:rPr>
          <w:rFonts w:ascii="Arial" w:cs="Arial" w:eastAsia="Arial" w:hAnsi="Arial"/>
          <w:b/>
          <w:bCs/>
          <w:color w:val="2C3E50"/>
          <w:sz w:val="24"/>
          <w:szCs w:val="24"/>
        </w:rPr>
        <w:t xml:space="preserve">XII.10.1 — Primary Source Documents</w:t>
      </w:r>
    </w:p>
    <w:p>
      <w:pPr>
        <w:spacing w:before="80" w:after="80"/>
        <w:jc w:val="left"/>
      </w:pPr>
      <w:r>
        <w:rPr>
          <w:rFonts w:ascii="Arial" w:cs="Arial" w:eastAsia="Arial" w:hAnsi="Arial"/>
          <w:b w:val="false"/>
          <w:bCs w:val="false"/>
          <w:i w:val="false"/>
          <w:iCs w:val="false"/>
          <w:color w:val="333333"/>
          <w:sz w:val="22"/>
          <w:szCs w:val="22"/>
        </w:rPr>
        <w:t xml:space="preserve">The following documents served as the foundational source materials for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 #</w:t>
            </w:r>
          </w:p>
        </w:tc>
        <w:tc>
          <w:tcPr>
            <w:tcW w:type="dxa" w:w="3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Title</w:t>
            </w:r>
          </w:p>
        </w:tc>
        <w:tc>
          <w:tcPr>
            <w:tcW w:type="dxa" w:w="2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Parts Informed</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PS-001</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Software Governance Framework v3</w:t>
            </w:r>
          </w:p>
        </w:tc>
        <w:tc>
          <w:tcPr>
            <w:tcW w:type="dxa" w:w="2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Comprehensive enterprise governance framework document covering strategic foundation, lifecycle management, AI governance, TPRM, acceleration, and measurement</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 VI, X, XI, XII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PS-002</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Software Governance Framework v2 (Transcript)</w:t>
            </w:r>
          </w:p>
        </w:tc>
        <w:tc>
          <w:tcPr>
            <w:tcW w:type="dxa" w:w="2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Earlier version of the governance framework providing foundational concepts, lifecycle definitions, and governance principles</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PS-003</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Agentic SDLC White Paper</w:t>
            </w:r>
          </w:p>
        </w:tc>
        <w:tc>
          <w:tcPr>
            <w:tcW w:type="dxa" w:w="2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Technical white paper on multi-agent software development lifecycle architecture, agent orchestration patterns, and AI-augmented development workflows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III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PS-004</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DevSecOps and AI Governance Playbook</w:t>
            </w:r>
          </w:p>
        </w:tc>
        <w:tc>
          <w:tcPr>
            <w:tcW w:type="dxa" w:w="2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Comprehensive playbook covering DevSecOps pipeline architecture, AI testing frameworks, development standards, operational domains, and acceleration strategies</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 VII, VIII, IX, 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PS-005</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Third-Party Risk Management (TPRM) Framework</w:t>
            </w:r>
          </w:p>
        </w:tc>
        <w:tc>
          <w:tcPr>
            <w:tcW w:type="dxa" w:w="2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Dedicated TPRM document covering vendor lifecycle management, risk assessment methodologies, and vendor governance structures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PS-006</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Governance Blueprint</w:t>
            </w:r>
          </w:p>
        </w:tc>
        <w:tc>
          <w:tcPr>
            <w:tcW w:type="dxa" w:w="2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Strategic blueprint document providing organizational operating model, measurement framework, and governance maturity definitions</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X, XI</w:t>
            </w:r>
          </w:p>
        </w:tc>
      </w:tr>
    </w:tbl>
    <w:p>
      <w:pPr>
        <w:pStyle w:val="Heading3"/>
        <w:spacing w:before="200" w:after="120"/>
      </w:pPr>
      <w:r>
        <w:rPr>
          <w:rFonts w:ascii="Arial" w:cs="Arial" w:eastAsia="Arial" w:hAnsi="Arial"/>
          <w:b/>
          <w:bCs/>
          <w:color w:val="2C3E50"/>
          <w:sz w:val="24"/>
          <w:szCs w:val="24"/>
        </w:rPr>
        <w:t xml:space="preserve">XII.10.2 — Industry Standards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 #</w:t>
            </w:r>
          </w:p>
        </w:tc>
        <w:tc>
          <w:tcPr>
            <w:tcW w:type="dxa" w:w="2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Standard/Framework</w:t>
            </w:r>
          </w:p>
        </w:tc>
        <w:tc>
          <w:tcPr>
            <w:tcW w:type="dxa" w:w="3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c>
          <w:tcPr>
            <w:tcW w:type="dxa" w:w="27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Parts Referenced</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IS-001</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NIST AI Risk Management Framework (AI RMF 1.0)</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reference for AI risk management methodology, governance structures, and risk measurement approaches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 XI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IS-002</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NIST Cybersecurity Framework (CSF 2.0)</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Foundation for cybersecurity governance, risk management, detection and response capabilities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 XI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IS-003</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NIST Secure Software Development Framework (SSDF)</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Reference for secure development lifecycle practices and DevSecOps integration</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IS-004</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ISO/IEC 42001:2023 — AI Management Systems</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International standard for AI management system requirements and responsible AI practices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IS-005</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ISO/IEC 27001:2022 — Information Security</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International standard for information security management system requirements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IS-006</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ISO/IEC 27701:2019 — Privacy Information Management</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Extension to ISO 27001 for privacy information management</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IS-007</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OWASP Top 10 and OWASP AI Security Guidelines</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application and AI-specific security vulnerability reference</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VIII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IS-008</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MITRE ATT&amp;CK Framework</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Threat intelligence and adversarial tactics reference for security operations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IS-009</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CIS Critical Security Controls v8</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Prioritized security controls reference for baseline security implementation</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IS-010</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SLSA (Supply-chain Levels for Software Artifacts)</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Software supply chain security framework for build provenance and integrity</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IS-011</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SBOM (Software Bill of Materials) Standards</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SPDX, CycloneDX, and NTIA SBOM standards for software composition transparency</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IS-012</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IEEE 7000-2021 — Ethical System Design</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for addressing ethical concerns in system and software design</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IS-013</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COBIT 2019 Framework</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governance of IT framework for governance and management objectives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XI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IS-014</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ITIL 4 Framework</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service management framework for operational practices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IX, 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IS-015</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SAFe (Scaled Agile Framework)</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agile framework referenced for governance at scale</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IS-016</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DORA Metrics (Accelerate)</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Software delivery performance metrics: deployment frequency, lead time, change failure rate, MTTR</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XI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IS-017</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SRE Principles (Google)</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Reliability Engineering practices including SLI/SLO/error budget methodology</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IS-018</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TOGAF Architecture Framework</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Enterprise architecture framework for architecture governance and lifecycle management</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IS-019</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Security Alliance (CSA) STAR</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security assurance framework for cloud-native governance</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IS-020</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FAIR (Factor Analysis of Information Risk)</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Quantitative risk analysis methodology for information risk</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XI</w:t>
            </w:r>
          </w:p>
        </w:tc>
      </w:tr>
    </w:tbl>
    <w:p>
      <w:r>
        <w:br w:type="page"/>
      </w:r>
    </w:p>
    <w:p>
      <w:pPr>
        <w:pStyle w:val="Heading3"/>
        <w:spacing w:before="200" w:after="120"/>
      </w:pPr>
      <w:r>
        <w:rPr>
          <w:rFonts w:ascii="Arial" w:cs="Arial" w:eastAsia="Arial" w:hAnsi="Arial"/>
          <w:b/>
          <w:bCs/>
          <w:color w:val="2C3E50"/>
          <w:sz w:val="24"/>
          <w:szCs w:val="24"/>
        </w:rPr>
        <w:t xml:space="preserve">XII.10.3 — Regulatory and Legal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 #</w:t>
            </w:r>
          </w:p>
        </w:tc>
        <w:tc>
          <w:tcPr>
            <w:tcW w:type="dxa" w:w="26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Regulation/Law</w:t>
            </w:r>
          </w:p>
        </w:tc>
        <w:tc>
          <w:tcPr>
            <w:tcW w:type="dxa" w:w="32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 Impact</w:t>
            </w:r>
          </w:p>
        </w:tc>
        <w:tc>
          <w:tcPr>
            <w:tcW w:type="dxa" w:w="27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Parts Referenced</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RL-001</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 Artificial Intelligence Act (2024)</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Comprehensive AI risk classification, prohibited practices, high-risk system requirements, transparency obligations, and conformity assessment</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 VI, VII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RL-002</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 General Data Protection Regulation (GDPR)</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protection by design, data subject rights, cross-border transfer, data processing agreements, and breach notification</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VI, VIII,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RL-003</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California Consumer Privacy Act (CCPA/CPRA)</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Consumer data rights, opt-out requirements, data protection impact assessments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RL-004</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Colorado AI Act (2024)</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algorithmic discrimination prevention, impact assessment, and disclosure requirements for high-risk AI systems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RL-005</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York City AI Bias Law (Local Law 144)</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employment decision tool audit and disclosure requirements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RL-006</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 2 Type II (AICPA Trust Services Criteria)</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 availability, processing integrity, confidentiality, and privacy controls for service organizations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 XI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RL-007</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PCI DSS v4.0</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 card data security requirements including access control, monitoring, testing, and encryption</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VII,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RL-008</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HIPAA/HITECH Act</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Protected health information security, privacy, breach notification, and business associate requirements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RL-009</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FedRAMP</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Federal cloud security authorization requirements for government cloud deployments</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RL-010</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Executive Order 14110 on AI Safety</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Federal AI safety, security, and trustworthiness requirements for AI development and deployment</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RL-011</w:t>
            </w:r>
          </w:p>
        </w:tc>
        <w:tc>
          <w:tcPr>
            <w:tcW w:type="dxa" w:w="26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EU Digital Operational Resilience Act (DORA)</w:t>
            </w:r>
          </w:p>
        </w:tc>
        <w:tc>
          <w:tcPr>
            <w:tcW w:type="dxa" w:w="32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ICT risk management, incident reporting, and third-party risk management for financial sector</w:t>
            </w:r>
          </w:p>
        </w:tc>
        <w:tc>
          <w:tcPr>
            <w:tcW w:type="dxa" w:w="27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RL-012</w:t>
            </w:r>
          </w:p>
        </w:tc>
        <w:tc>
          <w:tcPr>
            <w:tcW w:type="dxa" w:w="26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 Cybersecurity Disclosure Rules</w:t>
            </w:r>
          </w:p>
        </w:tc>
        <w:tc>
          <w:tcPr>
            <w:tcW w:type="dxa" w:w="32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 cybersecurity incident reporting and risk management disclosure requirements</w:t>
            </w:r>
          </w:p>
        </w:tc>
        <w:tc>
          <w:tcPr>
            <w:tcW w:type="dxa" w:w="27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 XI</w:t>
            </w:r>
          </w:p>
        </w:tc>
      </w:tr>
    </w:tbl>
    <w:p>
      <w:r>
        <w:br w:type="page"/>
      </w:r>
    </w:p>
    <w:p>
      <w:pPr>
        <w:pStyle w:val="Heading3"/>
        <w:spacing w:before="200" w:after="120"/>
      </w:pPr>
      <w:r>
        <w:rPr>
          <w:rFonts w:ascii="Arial" w:cs="Arial" w:eastAsia="Arial" w:hAnsi="Arial"/>
          <w:b/>
          <w:bCs/>
          <w:color w:val="2C3E50"/>
          <w:sz w:val="24"/>
          <w:szCs w:val="24"/>
        </w:rPr>
        <w:t xml:space="preserve">XII.10.4 — Technical and Methodology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c>
          <w:tcPr>
            <w:tcW w:type="dxa" w:w="8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 #</w:t>
            </w:r>
          </w:p>
        </w:tc>
        <w:tc>
          <w:tcPr>
            <w:tcW w:type="dxa" w:w="3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Reference</w:t>
            </w:r>
          </w:p>
        </w:tc>
        <w:tc>
          <w:tcPr>
            <w:tcW w:type="dxa" w:w="300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Application in Framework</w:t>
            </w:r>
          </w:p>
        </w:tc>
        <w:tc>
          <w:tcPr>
            <w:tcW w:type="dxa" w:w="2560"/>
            <w:tcBorders>
              <w:top w:val="single" w:color="B8D4E8" w:sz="1"/>
              <w:left w:val="single" w:color="B8D4E8" w:sz="1"/>
              <w:bottom w:val="single" w:color="B8D4E8" w:sz="1"/>
              <w:right w:val="single" w:color="B8D4E8"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Parts Referenced</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TR-001</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Zero Trust Architecture (NIST SP 800-207)</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Foundation for zero-trust security architecture principles applied across DevSecOps and operational security</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TR-002</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Threat Modeling (STRIDE, PASTA, LINDDUN)</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Threat modeling methodologies for security-by-design and AI-specific threat identification</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TR-003</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Chaos Engineering Principles (Netflix)</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Resilience testing methodology for reliability engineering and system fault tolerance validation</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VII,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TR-004</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GitOps Principles (OpenGitOps)</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Declarative infrastructure and application delivery through Git-centric operations</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VIII,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TR-005</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Policy as Code (OPA/Rego, Sentinel)</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Programmatic policy definition and enforcement for governance automation</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TR-006</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Compliance as Code Methodology</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Automated compliance verification through codified regulatory requirements</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VI,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TR-007</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MLOps Maturity Model (Google)</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ML operations maturity framework for AI model lifecycle governance</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 VII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TR-008</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Responsible AI Practices (OECD AI Principles)</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Ethical AI development principles: transparency, fairness, accountability, robustness, and human oversight</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TR-009</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Four Keys / DORA Metrics Research</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Empirical research on software delivery performance measurement and elite performance characteristics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XI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TR-010</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SPACE Framework (Developer Productivity)</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Multi-dimensional developer productivity measurement: Satisfaction, Performance, Activity, Communication, Efficiency</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VIII, X, XI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TR-011</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Topologies (Skelton &amp; Pais)</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Organizational design patterns for software delivery: stream-aligned, platform, enabling, and complicated-subsystem teams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IX, 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TR-012</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Wardley Mapping</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Strategic situational awareness methodology for technology landscape analysis and governance strategy</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TR-013</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Technical Debt Quantification Models</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Methodologies for measuring and managing technical debt including SQALE, CodeScene, and financial modeling approaches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VIII, XI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TR-014</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FinOps Foundation Principles</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financial management practices for cost optimization and financial governance</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XI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TR-015</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Value Stream Mapping (Lean)</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Process analysis methodology for identifying waste and optimizing governance workflow efficiency</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X, XI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TR-016</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Metamorphic Testing for AI/ML Systems</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Advanced AI testing methodology using metamorphic relations for oracle-less AI validation</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VII</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TR-017</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SSDF Implementation Guide (NIST SP 800-218)</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Practical guidance for implementing secure software development practices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III, IV, VIII</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TR-018</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Container Security Best Practices (NIST SP 800-190)</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Container and Kubernetes security guidance for cloud-native governance</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IV, IX</w:t>
            </w:r>
          </w:p>
        </w:tc>
      </w:tr>
      <w:tr>
        <w:tc>
          <w:tcPr>
            <w:tcW w:type="dxa" w:w="8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TR-019</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Mesh Principles (Dehghani)</w:t>
            </w:r>
          </w:p>
        </w:tc>
        <w:tc>
          <w:tcPr>
            <w:tcW w:type="dxa" w:w="300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Decentralized data architecture and governance principles for data operations</w:t>
            </w:r>
          </w:p>
        </w:tc>
        <w:tc>
          <w:tcPr>
            <w:tcW w:type="dxa" w:w="2560"/>
            <w:tcBorders>
              <w:top w:val="single" w:color="B8D4E8" w:sz="1"/>
              <w:left w:val="single" w:color="B8D4E8" w:sz="1"/>
              <w:bottom w:val="single" w:color="B8D4E8" w:sz="1"/>
              <w:right w:val="single" w:color="B8D4E8" w:sz="1"/>
            </w:tcBorders>
            <w:shd w:fill="F0F5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IX</w:t>
            </w:r>
          </w:p>
        </w:tc>
      </w:tr>
      <w:tr>
        <w:tc>
          <w:tcPr>
            <w:tcW w:type="dxa" w:w="8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TR-020</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Engineering Body of Knowledge</w:t>
            </w:r>
          </w:p>
        </w:tc>
        <w:tc>
          <w:tcPr>
            <w:tcW w:type="dxa" w:w="300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developer platform design, developer experience measurement, and platform team organization</w:t>
            </w:r>
          </w:p>
        </w:tc>
        <w:tc>
          <w:tcPr>
            <w:tcW w:type="dxa" w:w="2560"/>
            <w:tcBorders>
              <w:top w:val="single" w:color="B8D4E8" w:sz="1"/>
              <w:left w:val="single" w:color="B8D4E8" w:sz="1"/>
              <w:bottom w:val="single" w:color="B8D4E8" w:sz="1"/>
              <w:right w:val="single" w:color="B8D4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Parts VIII, IX, X</w:t>
            </w:r>
          </w:p>
        </w:tc>
      </w:tr>
    </w:tbl>
    <w:p>
      <w:r>
        <w:br w:type="page"/>
      </w:r>
    </w:p>
    <w:p>
      <w:pPr>
        <w:pStyle w:val="Heading3"/>
        <w:spacing w:before="200" w:after="120"/>
      </w:pPr>
      <w:r>
        <w:rPr>
          <w:rFonts w:ascii="Arial" w:cs="Arial" w:eastAsia="Arial" w:hAnsi="Arial"/>
          <w:b/>
          <w:bCs/>
          <w:color w:val="2C3E50"/>
          <w:sz w:val="24"/>
          <w:szCs w:val="24"/>
        </w:rPr>
        <w:t xml:space="preserve">XII.10.5 — Reference Maintenance Protocol</w:t>
      </w:r>
    </w:p>
    <w:p>
      <w:pPr>
        <w:spacing w:before="80" w:after="80"/>
        <w:jc w:val="left"/>
      </w:pPr>
      <w:r>
        <w:rPr>
          <w:rFonts w:ascii="Arial" w:cs="Arial" w:eastAsia="Arial" w:hAnsi="Arial"/>
          <w:b w:val="false"/>
          <w:bCs w:val="false"/>
          <w:i w:val="false"/>
          <w:iCs w:val="false"/>
          <w:color w:val="333333"/>
          <w:sz w:val="22"/>
          <w:szCs w:val="22"/>
        </w:rPr>
        <w:t xml:space="preserve">The consolidated reference library is a living document that requires systematic maintenance to remain accurate and authoritative:</w:t>
      </w:r>
    </w:p>
    <w:p>
      <w:pPr>
        <w:pStyle w:val="ListParagraph"/>
        <w:numPr>
          <w:ilvl w:val="0"/>
          <w:numId w:val="2"/>
        </w:numPr>
        <w:spacing w:before="40" w:after="40"/>
      </w:pPr>
      <w:r>
        <w:rPr>
          <w:rFonts w:ascii="Arial" w:cs="Arial" w:eastAsia="Arial" w:hAnsi="Arial"/>
          <w:b/>
          <w:bCs/>
          <w:color w:val="333333"/>
          <w:sz w:val="22"/>
          <w:szCs w:val="22"/>
        </w:rPr>
        <w:t xml:space="preserve">Quarterly Review: </w:t>
      </w:r>
      <w:r>
        <w:rPr>
          <w:rFonts w:ascii="Arial" w:cs="Arial" w:eastAsia="Arial" w:hAnsi="Arial"/>
          <w:color w:val="333333"/>
          <w:sz w:val="22"/>
          <w:szCs w:val="22"/>
        </w:rPr>
        <w:t xml:space="preserve">All references are reviewed quarterly for currency, with particular attention to regulatory references (which may have enforcement date changes or amendment updates) and standards references (which may have new versions released).</w:t>
      </w:r>
    </w:p>
    <w:p>
      <w:pPr>
        <w:pStyle w:val="ListParagraph"/>
        <w:numPr>
          <w:ilvl w:val="0"/>
          <w:numId w:val="2"/>
        </w:numPr>
        <w:spacing w:before="40" w:after="40"/>
      </w:pPr>
      <w:r>
        <w:rPr>
          <w:rFonts w:ascii="Arial" w:cs="Arial" w:eastAsia="Arial" w:hAnsi="Arial"/>
          <w:b/>
          <w:bCs/>
          <w:color w:val="333333"/>
          <w:sz w:val="22"/>
          <w:szCs w:val="22"/>
        </w:rPr>
        <w:t xml:space="preserve">Retirement Criteria: </w:t>
      </w:r>
      <w:r>
        <w:rPr>
          <w:rFonts w:ascii="Arial" w:cs="Arial" w:eastAsia="Arial" w:hAnsi="Arial"/>
          <w:color w:val="333333"/>
          <w:sz w:val="22"/>
          <w:szCs w:val="22"/>
        </w:rPr>
        <w:t xml:space="preserve">References are retired when the underlying standard or regulation has been superseded, withdrawn, or is no longer relevant to the framework. Retired references are moved to an archive section with the retirement date and replacement reference noted.</w:t>
      </w:r>
    </w:p>
    <w:p>
      <w:pPr>
        <w:pStyle w:val="ListParagraph"/>
        <w:numPr>
          <w:ilvl w:val="0"/>
          <w:numId w:val="2"/>
        </w:numPr>
        <w:spacing w:before="40" w:after="40"/>
      </w:pPr>
      <w:r>
        <w:rPr>
          <w:rFonts w:ascii="Arial" w:cs="Arial" w:eastAsia="Arial" w:hAnsi="Arial"/>
          <w:b/>
          <w:bCs/>
          <w:color w:val="333333"/>
          <w:sz w:val="22"/>
          <w:szCs w:val="22"/>
        </w:rPr>
        <w:t xml:space="preserve">Addition Process: </w:t>
      </w:r>
      <w:r>
        <w:rPr>
          <w:rFonts w:ascii="Arial" w:cs="Arial" w:eastAsia="Arial" w:hAnsi="Arial"/>
          <w:color w:val="333333"/>
          <w:sz w:val="22"/>
          <w:szCs w:val="22"/>
        </w:rPr>
        <w:t xml:space="preserve">New references are added when framework modifications introduce new source material, new regulations take effect, or new industry standards are published that are relevant to framework governance domains.</w:t>
      </w:r>
    </w:p>
    <w:p>
      <w:pPr>
        <w:pStyle w:val="ListParagraph"/>
        <w:numPr>
          <w:ilvl w:val="0"/>
          <w:numId w:val="2"/>
        </w:numPr>
        <w:spacing w:before="40" w:after="40"/>
      </w:pPr>
      <w:r>
        <w:rPr>
          <w:rFonts w:ascii="Arial" w:cs="Arial" w:eastAsia="Arial" w:hAnsi="Arial"/>
          <w:b/>
          <w:bCs/>
          <w:color w:val="333333"/>
          <w:sz w:val="22"/>
          <w:szCs w:val="22"/>
        </w:rPr>
        <w:t xml:space="preserve">Traceability Verification: </w:t>
      </w:r>
      <w:r>
        <w:rPr>
          <w:rFonts w:ascii="Arial" w:cs="Arial" w:eastAsia="Arial" w:hAnsi="Arial"/>
          <w:color w:val="333333"/>
          <w:sz w:val="22"/>
          <w:szCs w:val="22"/>
        </w:rPr>
        <w:t xml:space="preserve">During each quarterly review, the reference-to-part mappings are verified to ensure that every framework control can trace back to at least one authoritative reference, and that no references are orphaned without framework linkage.</w:t>
      </w:r>
    </w:p>
    <w:p>
      <w:pPr>
        <w:pStyle w:val="Heading3"/>
        <w:spacing w:before="200" w:after="120"/>
      </w:pPr>
      <w:r>
        <w:rPr>
          <w:rFonts w:ascii="Arial" w:cs="Arial" w:eastAsia="Arial" w:hAnsi="Arial"/>
          <w:b/>
          <w:bCs/>
          <w:color w:val="2C3E50"/>
          <w:sz w:val="24"/>
          <w:szCs w:val="24"/>
        </w:rPr>
        <w:t xml:space="preserve">XII.10.6 — Document Classification and Access</w:t>
      </w:r>
    </w:p>
    <w:p>
      <w:pPr>
        <w:spacing w:before="80" w:after="80"/>
        <w:jc w:val="left"/>
      </w:pPr>
      <w:r>
        <w:rPr>
          <w:rFonts w:ascii="Arial" w:cs="Arial" w:eastAsia="Arial" w:hAnsi="Arial"/>
          <w:b w:val="false"/>
          <w:bCs w:val="false"/>
          <w:i w:val="false"/>
          <w:iCs w:val="false"/>
          <w:color w:val="333333"/>
          <w:sz w:val="22"/>
          <w:szCs w:val="22"/>
        </w:rPr>
        <w:t xml:space="preserve">All reference documents are classified and managed according to the following access framework:</w:t>
      </w:r>
    </w:p>
    <w:p>
      <w:pPr>
        <w:pStyle w:val="ListParagraph"/>
        <w:numPr>
          <w:ilvl w:val="0"/>
          <w:numId w:val="2"/>
        </w:numPr>
        <w:spacing w:before="40" w:after="40"/>
      </w:pPr>
      <w:r>
        <w:rPr>
          <w:rFonts w:ascii="Arial" w:cs="Arial" w:eastAsia="Arial" w:hAnsi="Arial"/>
          <w:b/>
          <w:bCs/>
          <w:color w:val="333333"/>
          <w:sz w:val="22"/>
          <w:szCs w:val="22"/>
        </w:rPr>
        <w:t xml:space="preserve">Public Standards: </w:t>
      </w:r>
      <w:r>
        <w:rPr>
          <w:rFonts w:ascii="Arial" w:cs="Arial" w:eastAsia="Arial" w:hAnsi="Arial"/>
          <w:color w:val="333333"/>
          <w:sz w:val="22"/>
          <w:szCs w:val="22"/>
        </w:rPr>
        <w:t xml:space="preserve">Industry standards and frameworks (IS-series) and regulatory texts (RL-series) are publicly accessible and stored in the governance document management system with direct links to authoritative sources.</w:t>
      </w:r>
    </w:p>
    <w:p>
      <w:pPr>
        <w:pStyle w:val="ListParagraph"/>
        <w:numPr>
          <w:ilvl w:val="0"/>
          <w:numId w:val="2"/>
        </w:numPr>
        <w:spacing w:before="40" w:after="40"/>
      </w:pPr>
      <w:r>
        <w:rPr>
          <w:rFonts w:ascii="Arial" w:cs="Arial" w:eastAsia="Arial" w:hAnsi="Arial"/>
          <w:b/>
          <w:bCs/>
          <w:color w:val="333333"/>
          <w:sz w:val="22"/>
          <w:szCs w:val="22"/>
        </w:rPr>
        <w:t xml:space="preserve">Internal Source Documents: </w:t>
      </w:r>
      <w:r>
        <w:rPr>
          <w:rFonts w:ascii="Arial" w:cs="Arial" w:eastAsia="Arial" w:hAnsi="Arial"/>
          <w:color w:val="333333"/>
          <w:sz w:val="22"/>
          <w:szCs w:val="22"/>
        </w:rPr>
        <w:t xml:space="preserve">Primary source documents (PS-series) are classified as internal confidential and accessible to governance program participants, CoE members, and authorized auditors.</w:t>
      </w:r>
    </w:p>
    <w:p>
      <w:pPr>
        <w:pStyle w:val="ListParagraph"/>
        <w:numPr>
          <w:ilvl w:val="0"/>
          <w:numId w:val="2"/>
        </w:numPr>
        <w:spacing w:before="40" w:after="40"/>
      </w:pPr>
      <w:r>
        <w:rPr>
          <w:rFonts w:ascii="Arial" w:cs="Arial" w:eastAsia="Arial" w:hAnsi="Arial"/>
          <w:b/>
          <w:bCs/>
          <w:color w:val="333333"/>
          <w:sz w:val="22"/>
          <w:szCs w:val="22"/>
        </w:rPr>
        <w:t xml:space="preserve">Technical References: </w:t>
      </w:r>
      <w:r>
        <w:rPr>
          <w:rFonts w:ascii="Arial" w:cs="Arial" w:eastAsia="Arial" w:hAnsi="Arial"/>
          <w:color w:val="333333"/>
          <w:sz w:val="22"/>
          <w:szCs w:val="22"/>
        </w:rPr>
        <w:t xml:space="preserve">Technical and methodology references (TR-series) are accessible to all engineering and governance staff through the governance knowledge base.</w:t>
      </w:r>
    </w:p>
    <w:p>
      <w:pPr>
        <w:pStyle w:val="ListParagraph"/>
        <w:numPr>
          <w:ilvl w:val="0"/>
          <w:numId w:val="2"/>
        </w:numPr>
        <w:spacing w:before="40" w:after="40"/>
      </w:pPr>
      <w:r>
        <w:rPr>
          <w:rFonts w:ascii="Arial" w:cs="Arial" w:eastAsia="Arial" w:hAnsi="Arial"/>
          <w:b/>
          <w:bCs/>
          <w:color w:val="333333"/>
          <w:sz w:val="22"/>
          <w:szCs w:val="22"/>
        </w:rPr>
        <w:t xml:space="preserve">Audit Evidence: </w:t>
      </w:r>
      <w:r>
        <w:rPr>
          <w:rFonts w:ascii="Arial" w:cs="Arial" w:eastAsia="Arial" w:hAnsi="Arial"/>
          <w:color w:val="333333"/>
          <w:sz w:val="22"/>
          <w:szCs w:val="22"/>
        </w:rPr>
        <w:t xml:space="preserve">Reference documents used as audit evidence are maintained in a separately controlled evidence repository with chain-of-custody controls and version immutability.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4E8" w:sz="4" w:space="1"/>
      </w:pBdr>
      <w:spacing w:before="120"/>
      <w:jc w:val="center"/>
    </w:pPr>
    <w:r>
      <w:rPr>
        <w:rFonts w:ascii="Arial" w:cs="Arial" w:eastAsia="Arial" w:hAnsi="Arial"/>
        <w:color w:val="888888"/>
        <w:sz w:val="16"/>
        <w:szCs w:val="16"/>
      </w:rPr>
      <w:t xml:space="preserve">Section 8: Dependencies, Continuous Improvement &amp; References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i/>
        <w:iCs/>
        <w:color w:val="2E75B6"/>
        <w:sz w:val="18"/>
        <w:szCs w:val="18"/>
      </w:rPr>
      <w:t xml:space="preserve">Enterprise Software Governance Playbook</w:t>
    </w:r>
    <w:r>
      <w:rPr>
        <w:rFonts w:ascii="Arial" w:cs="Arial" w:eastAsia="Arial" w:hAnsi="Arial"/>
      </w:rPr>
      <w:t xml:space="preserve">	</w:t>
    </w:r>
    <w:r>
      <w:rPr>
        <w:rFonts w:ascii="Arial" w:cs="Arial" w:eastAsia="Arial" w:hAnsi="Arial"/>
        <w:i/>
        <w:iCs/>
        <w:color w:val="2E75B6"/>
        <w:sz w:val="18"/>
        <w:szCs w:val="18"/>
      </w:rPr>
      <w:t xml:space="preserve">Part XII — Dependencies, Improvement &amp;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2026-03-03T00:36:11.338Z</dcterms:created>
  <dcterms:modified xsi:type="dcterms:W3CDTF">2026-03-03T00:36:11.339Z</dcterms:modified>
</cp:coreProperties>
</file>

<file path=docProps/custom.xml><?xml version="1.0" encoding="utf-8"?>
<Properties xmlns="http://schemas.openxmlformats.org/officeDocument/2006/custom-properties" xmlns:vt="http://schemas.openxmlformats.org/officeDocument/2006/docPropsVTypes"/>
</file>